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CSÉPÁNY BÁLINT AMADÉ</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Ráth Olivér</w:t>
            </w:r>
          </w:p>
          <w:p w:rsidR="00DB4822" w:rsidRDefault="00DB4822" w:rsidP="009763E0">
            <w:pPr>
              <w:pStyle w:val="Konzulensektitulus"/>
            </w:pPr>
            <w:r w:rsidRPr="00DB4822">
              <w:t>megbízott oktató, PPKE JÁK</w:t>
            </w:r>
          </w:p>
        </w:tc>
      </w:tr>
      <w:tr w:rsidR="00DB4822" w:rsidTr="00DB4822">
        <w:tc>
          <w:tcPr>
            <w:tcW w:w="9854" w:type="dxa"/>
          </w:tcPr>
          <w:p w:rsidR="00DB4822" w:rsidRPr="00DB4822" w:rsidRDefault="00DB4822" w:rsidP="009763E0">
            <w:pPr>
              <w:pStyle w:val="Konzulenseknev"/>
            </w:pPr>
            <w:r w:rsidRPr="00DB4822">
              <w:t>dr. Veres Zoltán</w:t>
            </w:r>
          </w:p>
          <w:p w:rsidR="00DB4822" w:rsidRDefault="00DB4822" w:rsidP="009763E0">
            <w:pPr>
              <w:pStyle w:val="Konzulensektitulus"/>
            </w:pPr>
            <w:r w:rsidRPr="00DB4822">
              <w:t>megbízott oktató,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adófizetési morál és hajlandóság hatása az adóbevételekre - különös tekintettel az SZJA és az ÁFA helyzetére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célja választ adni arra a kérdésre, hogy van-e hatása az adófizetési morálnak, illetve hajlandóságnak az adóbevételek alakulására. Az adóztatási politika a mindenkori vezetés aktuális napirendi pontjai között van, hiszen az adók mértéke befolyásolja leginkább az állami bevételek alakulását. Az elmúlt három év reformjai – gondolok itt az SZJA törvény módosítására, az ÁFA-kulcs megnövelésére, vagy az online pénztárgépek bevezetésére – új alapokra helyezték a magyar adórendszert. A változtatások átfogó jellege, az Európai Unióban elterjedt adópolitikai módszerekhez való idomulás megjelenése (pl. az SZJA esetében), valamint a két - az adófizetőket leggyakrabban érintő - adónem átalakítása, a kiváltó okai annak, hogy vizsgálatom tárgyává tegyek egy olyan határterületet, mely az adózók benső énjével, szubjektív ítélkezésével, igazságérzetével és moralitásával foglalkozik az adózás, illetve az adófizetés tükrében.</w:t>
      </w:r>
      <w:r>
        <w:rPr>
          <w:color w:val="000000"/>
          <w:sz w:val="24"/>
          <w:szCs w:val="24"/>
        </w:rPr>
        <w:br/>
        <w:t xml:space="preserve">Munkámban nagy hangsúlyt fektetek az adófizetési morál, valamint a hajlandóság elméleti megalapozására. E körben egy viszonylag új megközelítésben ragadom meg e két fogalmat, mely lehetőséget biztosít ahhoz, hogy jelenlétüket az adórendszerünkben külön-külön is kimutathassam.</w:t>
      </w:r>
      <w:r>
        <w:rPr>
          <w:color w:val="000000"/>
          <w:sz w:val="24"/>
          <w:szCs w:val="24"/>
        </w:rPr>
        <w:br/>
        <w:t xml:space="preserve">Kutatásaim során az SZJA és az ÁFA bevételek vizsgálatát tűztem ki célul. Vizsgálódásaim során olyan meglepő eredményekre jutottam, mely a magyar adórendszer teljes bipolarizáltságát támasztják alá. Az SZJA esetében tulajdonképpen megvalósult mindaz, amelyet az adózók évek óta szeretnének, míg az ÁFA esetében azonban sokkal árnyaltabb a helyzet, amelyet csak tovább fokozott az online pénztárgépek megjelenése.</w:t>
      </w:r>
      <w:r>
        <w:rPr>
          <w:color w:val="000000"/>
          <w:sz w:val="24"/>
          <w:szCs w:val="24"/>
        </w:rPr>
        <w:br/>
        <w:t xml:space="preserve">Munkám során olyan kérdések merültek fel, melyek az intézmények figyelemreméltóságával és azok alkalmazásával foglalkoznak. Tényleg elérhető az állami bevételek növekedése, ha meg tudjuk változtatni az adófizetési morált? Valóban nem lehet hosszú távon hatni az adófizetési hajlandóságra? Vajon érdemes e két intézményt az adózási szabályok megalkotásánál figyelembe venni?</w:t>
      </w:r>
      <w:r>
        <w:rPr>
          <w:color w:val="000000"/>
          <w:sz w:val="24"/>
          <w:szCs w:val="24"/>
        </w:rPr>
        <w:br/>
        <w:t xml:space="preserve">Kutatásom eredményeként megállapítottam, hogy az adófizetési morál, illetve a hajlandóság jelenléte kimutatható, e két fogalom figyelembevételével történő jogalkalmazásnak nem elhanyagolható jelentősége is van, amelyet adónemenként eltérően kell megvalósítani.</w:t>
      </w:r>
      <w:r>
        <w:rPr>
          <w:color w:val="000000"/>
          <w:sz w:val="24"/>
          <w:szCs w:val="24"/>
        </w:rPr>
        <w:br/>
        <w:t xml:space="preserve">Végső konklúziómban rámutatok, hogy a magyar adórendszer bevételeinek növeléséhez, valamint a trükközések visszaszorításához az adórendszert, az anyagi jogban is megjelenő méltányosság alapulvételével kellene átalakítani.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33814">
    <w:multiLevelType w:val="hybridMultilevel"/>
    <w:lvl w:ilvl="0" w:tplc="26909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33814">
    <w:abstractNumId w:val="95233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737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