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AMADÉ CSÉPÁNY</w:t>
            </w:r>
          </w:p>
          <w:p w:rsidR="00C275A3" w:rsidRDefault="00A96AEC" w:rsidP="00C275A3">
            <w:pPr>
              <w:pStyle w:val="Hallgatokepzes"/>
            </w:pPr>
            <w:r>
              <w:t>Faculty of Law</w:t>
            </w:r>
            <w:r>
              <w:br/>
            </w:r>
            <w:r w:rsidR="00E77B23">
              <w:t>Unified, 7. semester</w:t>
            </w:r>
          </w:p>
          <w:p w:rsidR="00C265CE" w:rsidRPr="009E5FF1" w:rsidRDefault="00E77B23" w:rsidP="009763E0">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Olivér Ráth</w:t>
            </w:r>
          </w:p>
          <w:p w:rsidR="00DB4822" w:rsidRDefault="00DB4822" w:rsidP="009763E0">
            <w:pPr>
              <w:pStyle w:val="Konzulensektitulus"/>
            </w:pPr>
            <w:r w:rsidRPr="00DB4822">
              <w:t>visiting lecturer, PPKE JÁK</w:t>
            </w:r>
          </w:p>
        </w:tc>
      </w:tr>
      <w:tr w:rsidR="00DB4822" w:rsidTr="00DB4822">
        <w:tc>
          <w:tcPr>
            <w:tcW w:w="9854" w:type="dxa"/>
          </w:tcPr>
          <w:p w:rsidR="00DB4822" w:rsidRPr="00DB4822" w:rsidRDefault="00DB4822" w:rsidP="009763E0">
            <w:pPr>
              <w:pStyle w:val="Konzulenseknev"/>
            </w:pPr>
            <w:r w:rsidRPr="00DB4822">
              <w:t>Zoltán Veres</w:t>
            </w:r>
          </w:p>
          <w:p w:rsidR="00DB4822" w:rsidRDefault="00DB4822" w:rsidP="009763E0">
            <w:pPr>
              <w:pStyle w:val="Konzulensektitulus"/>
            </w:pPr>
            <w:r w:rsidRPr="00DB4822">
              <w:t>visiting lecturer,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Tax morale and the willingness of tax paying taxes on the tax revenues - regarding to the PIT and the VAT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following treatise I try to find whether the tax morale, or the willingness of tax paying, has an impact on tax revenue. The tax policy is always among the most important points on the agenda of the current government, because the income of the country depends on the tax rate the most. The reforms of the last three years – I mean that the Personal Income Tax (PIT) has changed to flat, the tax rate of the Value-Added Tax (VAT) has been increased, or the introduction of the online cash registers - has built the tax system on new basics. The wide range of the reforms and the fact, that some changes approximate towards the European tax policies, are the reasons why I chose a border area where I observe the inners, the sense of justice and morale of the tax payers.</w:t>
      </w:r>
      <w:r>
        <w:rPr>
          <w:color w:val="000000"/>
          <w:sz w:val="24"/>
          <w:szCs w:val="24"/>
        </w:rPr>
        <w:br/>
        <w:t xml:space="preserve">In my essay I put emphasis on the theoretical foundation of the tax morale and the willingness to pay tax. In my work I try to construct my concepts on new basics. This approach allows me to prove these concepts exist in the tax system.</w:t>
      </w:r>
      <w:r>
        <w:rPr>
          <w:color w:val="000000"/>
          <w:sz w:val="24"/>
          <w:szCs w:val="24"/>
        </w:rPr>
        <w:br/>
        <w:t xml:space="preserve">During my reasarch I only examined the incomes from the PIT and the VAT. In my investigation I found results which confirmed my hypothesis: that the strangeness of the Hungarian tax system is its bipolarity. On the one hand, the new aspect of the PIT seems to be what taxpayers have wanted for years. On the other hand, regarding the VAT, it is a bit more complicated, which has not been made easier by the introduction of the cashier registers.</w:t>
      </w:r>
      <w:r>
        <w:rPr>
          <w:color w:val="000000"/>
          <w:sz w:val="24"/>
          <w:szCs w:val="24"/>
        </w:rPr>
        <w:br/>
        <w:t xml:space="preserve">During my discussion many questions have emerged, such as could we achieve the increase of the tax revenues by changing the morale of the taxpayers? Can we impact on the willingness of tax paying in the long term? Is it worth paying attention to these institutes during the legislation of the tax laws?</w:t>
      </w:r>
      <w:r>
        <w:rPr>
          <w:color w:val="000000"/>
          <w:sz w:val="24"/>
          <w:szCs w:val="24"/>
        </w:rPr>
        <w:br/>
        <w:t xml:space="preserve">As a result I can say that the existance of the tax morale, and the willingness of tax paying is unquestionable. These two institutes are not just theoretichal they have probationary benefits, and depending on the tax, we have to use them differently.</w:t>
      </w:r>
      <w:r>
        <w:rPr>
          <w:color w:val="000000"/>
          <w:sz w:val="24"/>
          <w:szCs w:val="24"/>
        </w:rPr>
        <w:br/>
        <w:t xml:space="preserve">At the end, I conclude that in order to increase the revenues to the Hungarian tax system, and in order to repel the misuse of the tax system, we have to change basically the substantive law, but not just superfically. We have to build our reforms equitably.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69780">
    <w:multiLevelType w:val="hybridMultilevel"/>
    <w:lvl w:ilvl="0" w:tplc="91540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69780">
    <w:abstractNumId w:val="700697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6164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