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ÉLŐ</w:t>
            </w:r>
          </w:p>
          <w:p w:rsidR="00C275A3" w:rsidRDefault="00A96AEC" w:rsidP="00C275A3">
            <w:pPr>
              <w:pStyle w:val="Hallgatokepzes"/>
            </w:pPr>
            <w:r>
              <w:t>Faculty of law</w:t>
            </w:r>
            <w:r>
              <w:br/>
            </w:r>
            <w:r w:rsidR="00E77B23">
              <w:t>Unified, 3.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Olivér Ráth</w:t>
            </w:r>
          </w:p>
          <w:p w:rsidR="00DB4822" w:rsidRDefault="00DB4822" w:rsidP="00E11062">
            <w:pPr>
              <w:pStyle w:val="Konzulensek"/>
            </w:pPr>
            <w:r w:rsidRPr="00DB4822">
              <w:t>mandated professor, PPKE JÁK</w:t>
            </w:r>
          </w:p>
        </w:tc>
      </w:tr>
      <w:tr w:rsidR="00DB4822" w:rsidTr="00DB4822">
        <w:tc>
          <w:tcPr>
            <w:tcW w:w="9854" w:type="dxa"/>
          </w:tcPr>
          <w:p w:rsidR="00DB4822" w:rsidRPr="00DB4822" w:rsidRDefault="00DB4822" w:rsidP="004D7940">
            <w:pPr>
              <w:pStyle w:val="Konzulensek"/>
            </w:pPr>
            <w:r w:rsidRPr="00DB4822">
              <w:t>dr. Zoltán Veres</w:t>
            </w:r>
          </w:p>
          <w:p w:rsidR="00DB4822" w:rsidRDefault="00DB4822" w:rsidP="00E11062">
            <w:pPr>
              <w:pStyle w:val="Konzulensek"/>
            </w:pPr>
            <w:r w:rsidRPr="00DB4822">
              <w:t>mandated professor, PPKE JÁK</w:t>
            </w:r>
          </w:p>
        </w:tc>
      </w:tr>
      <w:tr w:rsidR="00DB4822" w:rsidTr="00DB4822">
        <w:tc>
          <w:tcPr>
            <w:tcW w:w="9854" w:type="dxa"/>
          </w:tcPr>
          <w:p w:rsidR="00DB4822" w:rsidRPr="00DB4822" w:rsidRDefault="00DB4822" w:rsidP="004D7940">
            <w:pPr>
              <w:pStyle w:val="Konzulensek"/>
            </w:pPr>
            <w:r w:rsidRPr="00DB4822">
              <w:t>Dr. László Vértesy</w:t>
            </w:r>
          </w:p>
          <w:p w:rsidR="00DB4822" w:rsidRDefault="00DB4822" w:rsidP="00E11062">
            <w:pPr>
              <w:pStyle w:val="Konzulensek"/>
            </w:pPr>
            <w:r w:rsidRPr="00DB4822">
              <w:t>consultant,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distribution of government bonds in the perspective of Hungary’s budget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deal with the distributon of government bonds in connection with Hungary’s budget. People meet with his financial construction more and more often across the Hungarian media, thats why it became clear for me: the government’s goal is to encourage it’s citizens to buy.</w:t>
      </w:r>
      <w:r>
        <w:rPr>
          <w:color w:val="000000"/>
          <w:sz w:val="24"/>
          <w:szCs w:val="24"/>
        </w:rPr>
        <w:br/>
        <w:t xml:space="preserve">It is therefore I raised the question: What is the national economy’s interest in the domestic fund raising? Is it more favorable for Hungary to turn to the domestic financing instead of the money market loans? If our answer is yes, then what are the components if this trend?</w:t>
      </w:r>
      <w:r>
        <w:rPr>
          <w:color w:val="000000"/>
          <w:sz w:val="24"/>
          <w:szCs w:val="24"/>
        </w:rPr>
        <w:br/>
        <w:t xml:space="preserve">It is important to note, that my topic is located in a complex area, where several disciplines situated: It has unavoidable economics bases, but public finance and financial law is also strongly discoverable in it.</w:t>
      </w:r>
      <w:r>
        <w:rPr>
          <w:color w:val="000000"/>
          <w:sz w:val="24"/>
          <w:szCs w:val="24"/>
        </w:rPr>
        <w:br/>
        <w:t xml:space="preserve">My work begins with a theoretical foundation and I also discuss the role of public participation in the government securities market. I will outline the legal and institutional context of Hungary’s financing and debt management.</w:t>
      </w:r>
      <w:r>
        <w:rPr>
          <w:color w:val="000000"/>
          <w:sz w:val="24"/>
          <w:szCs w:val="24"/>
        </w:rPr>
        <w:br/>
        <w:t xml:space="preserve">It is necessary to reduce the rate of the foreign currency debt and the external funders to the optimal level. In this way the country’s foreign exchange rate exposure and vulnerability decreases. The expansion of government bonds carries several positive aspects on state finances in the above mentioned areas.</w:t>
      </w:r>
      <w:r>
        <w:rPr>
          <w:color w:val="000000"/>
          <w:sz w:val="24"/>
          <w:szCs w:val="24"/>
        </w:rPr>
        <w:br/>
        <w:t xml:space="preserve">I would like to point out that through the growth of the citizen holders rate Hungary could also achieve a more ideal structure of the public debt; this can be beneficial for the future.</w:t>
      </w:r>
      <w:r>
        <w:rPr>
          <w:color w:val="000000"/>
          <w:sz w:val="24"/>
          <w:szCs w:val="24"/>
        </w:rPr>
        <w:br/>
        <w:t xml:space="preserve">By the Hungarian government bond distribution the state can influence the debt’s forint and foreign exchange ratio and also the ownership structure. My opinion is that this economic policy instrument is a forward looking financial product and in the long run it may redeem it’s promise: a stable and predictable public finance.</w:t>
      </w:r>
      <w:r>
        <w:rPr>
          <w:color w:val="000000"/>
          <w:sz w:val="24"/>
          <w:szCs w:val="24"/>
        </w:rPr>
        <w:br/>
        <w:t xml:space="preserve">I hope that my work will help to refine the present and the future of the Hungarian government bonds, as we see their increasing role in the financing of our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48295">
    <w:multiLevelType w:val="hybridMultilevel"/>
    <w:lvl w:ilvl="0" w:tplc="17174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48295">
    <w:abstractNumId w:val="942482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241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