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LŐRINCZ</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PÉTER RUFF</w:t>
            </w:r>
          </w:p>
          <w:p w:rsidR="00DB4822" w:rsidRDefault="00C275A3" w:rsidP="004D7940">
            <w:pPr>
              <w:pStyle w:val="Hallgatokepzes"/>
            </w:pPr>
            <w:r>
              <w:t>Faculty of Law</w:t>
            </w:r>
            <w:r w:rsidR="00A96AEC">
              <w:br/>
              <w:t>Unified, 7. semester</w:t>
            </w:r>
          </w:p>
          <w:p w:rsidR="00DB4822" w:rsidRDefault="00DB4822" w:rsidP="004D7940">
            <w:pPr>
              <w:pStyle w:val="Hallgatointezmeny-kar"/>
            </w:pPr>
            <w:r>
              <w:t>Pázmány Péter Catholic University</w:t>
            </w:r>
          </w:p>
          <w:p w:rsidR="00C265CE" w:rsidRPr="009E5FF1" w:rsidRDefault="00DB4822" w:rsidP="004D7940">
            <w:pPr>
              <w:pStyle w:val="Hallgatointezmeny-kar"/>
              <w:rPr>
                <w:b/>
                <w:caps/>
              </w:rPr>
            </w:pPr>
            <w:r>
              <w:t>Faculty of Law and Political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Barnabás Hajas</w:t>
            </w:r>
          </w:p>
          <w:p w:rsidR="00DB4822" w:rsidRDefault="00DB4822" w:rsidP="00E11062">
            <w:pPr>
              <w:pStyle w:val="Konzulensek"/>
            </w:pPr>
            <w:r w:rsidRPr="00DB4822">
              <w:t>lecturel,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after the actio popularis - The Commissioner for fundamental rights as the most powerfull voice in the choir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r>
        <w:rPr>
          <w:color w:val="000000"/>
          <w:sz w:val="24"/>
          <w:szCs w:val="24"/>
        </w:rPr>
        <w:br/>
        <w:t xml:space="preserve">The intention of our research was to examine how much the abolition of actio popularis, in association with the intensifying ombudsman initiation affected the individual possibilities in terms of protection of fundamental rights.</w:t>
      </w:r>
      <w:r>
        <w:rPr>
          <w:color w:val="000000"/>
          <w:sz w:val="24"/>
          <w:szCs w:val="24"/>
        </w:rPr>
        <w:br/>
        <w:t xml:space="preserve">The international aspects have also been emphasized in the thesis, partially the scandinavian roots of the ombudsman system, as well as particular types of constitutionality reviews have been taken into consideration.</w:t>
      </w:r>
      <w:r>
        <w:rPr>
          <w:color w:val="000000"/>
          <w:sz w:val="24"/>
          <w:szCs w:val="24"/>
        </w:rPr>
        <w:br/>
        <w:t xml:space="preserve">The possibility to turn to the constitutional court demanded rationalization. The overburden of the plenum had to be readressed, and one way to do this was to terminate petitions submitted by anyone. There has not been significant decline in the fields of rights excercisement nonetheless, owing to the fact, that the Commissioner for fundamental rights has become part of the proposers of subsequent abstract constitutionality reviews. The reason for this lies in the ombudsman during the processes, and in the standards of the constitutional court developed during the consistent interpretation of the basic rights.</w:t>
      </w:r>
      <w:r>
        <w:rPr>
          <w:color w:val="000000"/>
          <w:sz w:val="24"/>
          <w:szCs w:val="24"/>
        </w:rPr>
        <w:br/>
        <w:t xml:space="preserve">The changes made in the Commissioner's person still further complicates the already unclear situation. Will this present moderate function of the ombudsman enforce the statement, that the Commissioner for fundamental rights can only be effective as a connection in the current regulations if it fulfills an active role of initiation? In this context, it is necessary to investigate the concept of awareness and accuracy, as the two leading flagships of attitude.</w:t>
      </w:r>
      <w:r>
        <w:rPr>
          <w:color w:val="000000"/>
          <w:sz w:val="24"/>
          <w:szCs w:val="24"/>
        </w:rPr>
        <w:br/>
        <w:t xml:space="preserve">Furthermore we will point out in our thesis, that the actio popularis in the current attitude of the ombudsman is sufficiently replaced thanks to the collaboration of the subsequent abstract constitutional reviewes submited by the ombudsman and the constitutional appeals, also it is not only the ombudsman’s duty to solve these problems but also the other submitting chanels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56537">
    <w:multiLevelType w:val="hybridMultilevel"/>
    <w:lvl w:ilvl="0" w:tplc="59365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56537">
    <w:abstractNumId w:val="96656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1155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