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STELLA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Tihamér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engedékenységi eljárás alatt keletkezett dokumentumok hozzáférhetősége a magánjogi kártérítési keresetekben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versenyjogi szabályozás kikényszerítése kétféle módon történhet: közjogi és magánjogi jogérvényesítés útján. A verseny hatékony működését elősegíti az, ha a kétfajta jogérvényesítést egymással összhangban lévő rendszerben kezeljük.</w:t>
      </w:r>
      <w:r>
        <w:rPr>
          <w:color w:val="000000"/>
          <w:sz w:val="24"/>
          <w:szCs w:val="24"/>
        </w:rPr>
        <w:br/>
        <w:t xml:space="preserve">Probléma merül fel akkor, ha a kartellek miatt károsult kártérítéshez való joga ütközik a hatékony közjogi jogérvényesítéssel. Ha a vállalkozás által benyújtott inkrimináló bizonyítékok hozzáférhetővé válnak a károsultak részére egy kártérítésre irányuló eljárásban, az elriaszthatja az engedékenységi program potenciális jelentkezőit. Másrészről viszont a károsult hatékony jogorvoslathoz való joga sérülhet, ha nem férhet hozzá az iratokhoz. A verseny hatékony működését elősegíti az, ha a kétfajta jogérvényesítést egymással összhangban lévő rendszerben kezeljük. Ezért a magánjogi és a közjogi jogérvényesítés közötti kölcsönhatás optimalizálása szükséges jogalkotói eszközökkel.</w:t>
      </w:r>
      <w:r>
        <w:rPr>
          <w:color w:val="000000"/>
          <w:sz w:val="24"/>
          <w:szCs w:val="24"/>
        </w:rPr>
        <w:br/>
        <w:t xml:space="preserve">Dolgozatomban bemutatom, hogy a két érdek között az új irányelv nem lesz képest egyensúlyt teremteni.</w:t>
      </w:r>
      <w:r>
        <w:rPr>
          <w:color w:val="000000"/>
          <w:sz w:val="24"/>
          <w:szCs w:val="24"/>
        </w:rPr>
        <w:br/>
        <w:t xml:space="preserve">A Pfleiderer ügyben kellett az Európai Bíróságnak először a károsultak iratbetekintési jogosultságáról döntenie kartelljogi eljárás vonatkozásában. Ezt követően a Donau Chemie, VKI, CDC hidrogén-peroxid ügyekben foglalkozott ezzel a kérdéssel.</w:t>
      </w:r>
      <w:r>
        <w:rPr>
          <w:color w:val="000000"/>
          <w:sz w:val="24"/>
          <w:szCs w:val="24"/>
        </w:rPr>
        <w:br/>
        <w:t xml:space="preserve">Az új irányelv javaslata szerint a társasági nyilatkozatok abszolút mentességben részesülnek, a bíróság rendelheti el a hozzáférését, a többi dokumentum vonatkozásában a mérlegelési szempontok figyelembe vételével adhat helyt a károsultak kérelmének.</w:t>
      </w:r>
      <w:r>
        <w:rPr>
          <w:color w:val="000000"/>
          <w:sz w:val="24"/>
          <w:szCs w:val="24"/>
        </w:rPr>
        <w:br/>
        <w:t xml:space="preserve">A végkövetkeztetésem az, hogy az engedékenységi programok sikeressége és a magánjogi jogérvényesítés hatékonysága úgy hozható egyensúlyba, ha a szabályozáson változtatunk. Úgy gondolom, hogy ha az engedékenységet kérelmező vállalkozások felelősségét a jogsértésben részt vevő tagok irányában korlátoznánk, az egy újabb ösztönző erőt kreálna a programok sikeressége érdekében. Mindeközben az engedékenységi iratok védelmére vonatkozó szigorú szabályokat enyhíteni kellene.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90135">
    <w:multiLevelType w:val="hybridMultilevel"/>
    <w:lvl w:ilvl="0" w:tplc="51655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90135">
    <w:abstractNumId w:val="355901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7722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