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STELLA SIMON</w:t>
            </w:r>
          </w:p>
          <w:p w:rsidR="00C275A3" w:rsidRDefault="00A96AEC" w:rsidP="00C275A3">
            <w:pPr>
              <w:pStyle w:val="Hallgatokepzes"/>
            </w:pPr>
            <w:r>
              <w:t>Legal studies</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Tihamér Tóth</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Disclosure of leninency documents in private damages litigation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Enforcing competition rules can be implemented in two ways: public and private enforcement.</w:t>
      </w:r>
      <w:r>
        <w:rPr>
          <w:color w:val="000000"/>
          <w:sz w:val="24"/>
          <w:szCs w:val="24"/>
        </w:rPr>
        <w:br/>
        <w:t xml:space="preserve">Since the Courage and Crehan judgements, any individual has the right to claim damages for loss caused to him by a conduct which is liable to restrict or distort competition. Access to evidence is necessary to prove the casual link, damages. Access to voluntarily produced, self-incriminating leniency documents would be only beneficial to victims of infringements, but not to leniency applicants.</w:t>
      </w:r>
      <w:r>
        <w:rPr>
          <w:color w:val="000000"/>
          <w:sz w:val="24"/>
          <w:szCs w:val="24"/>
        </w:rPr>
        <w:br/>
        <w:t xml:space="preserve">The European Commission’s proposal for a directive on certain rules governing actions for damages for infringement of competition law gives courts wide assessment in ordering diclosure of evidence. But it provides absolute protection from disclosure for leniecy statements.</w:t>
      </w:r>
      <w:r>
        <w:rPr>
          <w:color w:val="000000"/>
          <w:sz w:val="24"/>
          <w:szCs w:val="24"/>
        </w:rPr>
        <w:br/>
        <w:t xml:space="preserve">In my opinion, this directive is not the best solution for the victims, nor for the leniency applicants. Why not grant the leniency applicant full indemnity from civil damages? The damages would be paid by other cartelists. Meanwhile all leniency documents should be disclosed.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24197">
    <w:multiLevelType w:val="hybridMultilevel"/>
    <w:lvl w:ilvl="0" w:tplc="40650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24197">
    <w:abstractNumId w:val="46424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778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