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 BETTINA</w:t>
            </w:r>
          </w:p>
          <w:p w:rsidR="00C275A3" w:rsidRDefault="00A96AEC" w:rsidP="00C275A3">
            <w:pPr>
              <w:pStyle w:val="Hallgatokepzes"/>
            </w:pPr>
            <w:r>
              <w:t>Jogász</w:t>
            </w:r>
            <w:r>
              <w:br/>
            </w:r>
            <w:r w:rsidR="00E77B23">
              <w:t>Osztatlan, 5.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Könczöl Miklós</w:t>
            </w:r>
          </w:p>
          <w:p w:rsidR="00DB4822" w:rsidRDefault="00DB4822" w:rsidP="009763E0">
            <w:pPr>
              <w:pStyle w:val="Konzulensektitulus"/>
            </w:pPr>
            <w:r w:rsidRPr="00DB4822">
              <w:t>egyetemi tanársegéd,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Rész és egész - A szemiotikai-stilisztikai elemzés lehetőségei jogi szövegeknél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A dolgozat a jogi szövegek nyelvi elemzésének a lehetőségeit és szükségességét vizsgálja, egy lehetséges elemzési és értelmezési módszertant is bemutatva. Kiindulópontja jog és nyelv jelrendszertani hasonlósága, illetve a jognak a természetes nyelv elemeiből építkező struktúra volta. Minthogy a nyelv nyitott és sokfunkciós jelrendszer, a belőle felépülő jognak is rendelkezie kell e tulajdonságokkal. A jog pedig hiába törekszik saját képére formálni a nyelvet nyelvhasználatának precizitásával, az ún. „elsődleges funkciókon” túl olyan nyelvi elemek lelhetők fel, melyekhez már nem ér el a jog befolyása. E szint tanulmányozása a jogi szövegek árnyaltabb értelmezését eredményezheti, s erre csak nyelvészeti elemzés által van lehetőség.</w:t>
      </w:r>
      <w:r>
        <w:rPr>
          <w:color w:val="000000"/>
          <w:sz w:val="24"/>
          <w:szCs w:val="24"/>
        </w:rPr>
        <w:br/>
        <w:t xml:space="preserve">A dolgozat első része az elméleti megalapozásról szól: középpontjában a jogi szemiotika kialakulásának folyamata áll, kiemelve, hogy B. S. Jackson teóriája (a jog egy kettős szemiotikai rendszer) lényegében egybeesik L. Hjelmslev absztrakt szemiotikai hipotézisével. Eszerint egy szöveget kitevő alakzatok nem rendelkeznek önálló jeltermészettel, hanem úgy idomulnak környezetük sajátosságaihoz, hogy közben megőrzik eredeti tulajdonságaikat. Bármily erős egy területen a szemiotikai kényszer, az abban munkálkodó ember (így a jogalkotó is) önkéntelenül átlépi szemiotikai korlátait. Ezt a szemiotikai irányból megközelített stilisztika elemzési lehetőségeinek vizsgálata követi. A stilisztika az alakzatok eredeti tulajdonságait vizsgálja, a szemiotika pedig az elemek összességének működésével foglalkozik.</w:t>
      </w:r>
      <w:r>
        <w:rPr>
          <w:color w:val="000000"/>
          <w:sz w:val="24"/>
          <w:szCs w:val="24"/>
        </w:rPr>
        <w:br/>
        <w:t xml:space="preserve">A dolgozat második fele a Nemzeti hitvallásnak [NH] az Alaptörvény [AT] további részéhez fűződő viszonyán keresztül vizsgálja a fenti megközelítés lehetőségeit. A NH stilisztikailag világosan elkülönülő rész, míg szemiotikai-szövegnyelvészeti oldaláról tekintve az utóbbival együtt értelmezendő, normatív erővel bír. Itt kerül szóba a metaforaelmélet és intertextualitás kérdésköre is, ugyanis az AT esetében a két rész eltérő stílusából következik eltérő szemiotikai eredetük. Minden szöveg esetében ugyanis egyfajta szemiotikai folytonosság figyelhető meg. Ezek képezik az AT mélystruktúráját, melyek hatással is bírnak a szöveg tudatosan kialakított felszíni szerkezetére. Az összegzésben két, a NH szerepével kapcsolatos elméletet állítok szembe egymással, bizonyítandó az egységes értelmezési módszer szükségességét. A tanulság: normativitás és „szépirodalmi minőség” kölcsönhatásának vizsgálata szükséges, a kettő szembeállítása helyett.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06780">
    <w:multiLevelType w:val="hybridMultilevel"/>
    <w:lvl w:ilvl="0" w:tplc="50115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06780">
    <w:abstractNumId w:val="65206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0592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