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BOR</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Könczöl</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Parts as opposed to the whole - The possibility of semiotic and stilistic analysis of legal texts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discusses the possibility and necessity of linguistic analysis of legal texts, and shows a possible method of analysis and interpretation. Its starting point is the similiarity of law and language as semiotic systems, law being a structure built from the elements of natural language. Given that, if language is an open and multi-functional semiotic system, law necessarily shows the same features. Law seeks to shape language to its own likeness through precise formulation, yet it necessarily contains linguistic elements, besides its ‘primary functions’, which are beyond its influence. Studying that level, accessible to linguistic analysis only, offers a more nuanced interpretation of legal texts.</w:t>
      </w:r>
      <w:r>
        <w:rPr>
          <w:color w:val="000000"/>
          <w:sz w:val="24"/>
          <w:szCs w:val="24"/>
        </w:rPr>
        <w:br/>
        <w:t xml:space="preserve">Part I deals with the theoretical grounds, focusing on the development of legal semiotics, and the essential similarity between the theory of B. S. Jackson (according to which law is a twofold semiotic system) and the abstract semiotic hypothesis of L. Hjelmslev. According to the latter, the liguistic figures that build up a text have no semiotic nature of their own, but adapt to their environment while keeping their original features. However strong the semiotic constraints of a certain field are, people working in that field (eg. legislation) will uncosciously go beyond their semiotic limits. The approach examined is that of semiotically informed stilistics. Stilistics deals with the ‘original’ characteristics of figures, while semiotics looks at the working of those elements as a totality.</w:t>
      </w:r>
      <w:r>
        <w:rPr>
          <w:color w:val="000000"/>
          <w:sz w:val="24"/>
          <w:szCs w:val="24"/>
        </w:rPr>
        <w:br/>
        <w:t xml:space="preserve">Part II looks at the National Awoval [NA] and its relationship to the other parts of the Fundamental Law of Hungary [FL], as an example of such analysis. Stilistically, the preamble is clearly separated, while from the perspective of semiotics and textual linguistics it needs to be interpreted together with the other parts, and hence it has normative force. Here, the problem of metaphors and intertextuality is metioned, since in the case of FL, the different style of its two parts points to their different semiotic origins. In every text, a certain semiotic continuity can be shown. That makes for the textual deep structure of FL, which also influences the consciously shaped surface level. By way of conclusion, two different theories concerning the role of NA are contrasted, to show the necessity of a common method of interpretation. Normativity and literary qualities, it is argued, need to be studied through their mutual influences, rather than in opposition.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94122">
    <w:multiLevelType w:val="hybridMultilevel"/>
    <w:lvl w:ilvl="0" w:tplc="92494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94122">
    <w:abstractNumId w:val="97494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088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