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CZIBULYA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El Beheiri Nadja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Zu Befehl - Parancsra tettem - Avagy természetjogi bontómunkálatok a berlini fal napos oldalán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célja, hogy megtaláljam annak az élethelyzetnek a jellemzőit, kialakulásának körülményeit, amely társadalompolitikailag és jogilag is egyfajta változást, szemléletmód-váltást vagy fordulópontot, „határvonalat” jelent az ember egyéni és közösségi létében.</w:t>
      </w:r>
      <w:r>
        <w:rPr>
          <w:color w:val="000000"/>
          <w:sz w:val="24"/>
          <w:szCs w:val="24"/>
        </w:rPr>
        <w:br/>
        <w:t xml:space="preserve">Így pedig megértsem-megértessem tulajdonságaikat és próbáljak választ keresni – esetleg találni – arra, mikor nyúlunk egy jogontúli tételhez, mert a pozitív jog már nem ad kellő biztosítékot.</w:t>
      </w:r>
      <w:r>
        <w:rPr>
          <w:color w:val="000000"/>
          <w:sz w:val="24"/>
          <w:szCs w:val="24"/>
        </w:rPr>
        <w:br/>
        <w:t xml:space="preserve">Munkám nem a természetjog mibenlétének – sokadik – körbejárására, meghatározására törekszik, mindössze a konkrét esetekből kiindulva, azokat párhuzamba állítva és felhasználva igyekszem választ találni dolgozatom kérdéseire.</w:t>
      </w:r>
      <w:r>
        <w:rPr>
          <w:color w:val="000000"/>
          <w:sz w:val="24"/>
          <w:szCs w:val="24"/>
        </w:rPr>
        <w:br/>
        <w:t xml:space="preserve">Kiindulópontként az úgynevezett ’Mauerschützenfälle’-t, a berlini falnál történt, halállal végződő átkelési-menekülési próbálkozások szolgálnak, különös figyelmet szentelve egy, a pártdiktatúra kegyetlenségét illusztráló esetre. Peter Fechter esetével kezdve, majd a különböző – hatalmi vagy népi-társadalmi – reakciókkal folytatva keresem a választ a feltett kérdésekre, eljutva addig a pontig, amikor is a német büntetőbíróság egy természetjogi tételt, a ’radbruchi formulát’ alkalmazta az igazság megtalálásához.</w:t>
      </w:r>
      <w:r>
        <w:rPr>
          <w:color w:val="000000"/>
          <w:sz w:val="24"/>
          <w:szCs w:val="24"/>
        </w:rPr>
        <w:br/>
        <w:t xml:space="preserve">A jobb megértés érdekében igyekeztem párhuzamokat keresni. Ezek Livius ’Ab Urbe condita’ című művének két katonai jogi esetében realizálódtak. Egyikben a társadalmi hasznot és elismerést hozó következményekkel járó parancsmegtagadást, a másikban a parancshoz ésszerűtlenül és a végletekig történő, a közösségnek kárt okozó ragaszkodást figyelhetjük meg. Az eseteket követő konfliktusokban pedig szintén egy természetjogi intézmény, a precarium nyer alkalmazást.</w:t>
      </w:r>
      <w:r>
        <w:rPr>
          <w:color w:val="000000"/>
          <w:sz w:val="24"/>
          <w:szCs w:val="24"/>
        </w:rPr>
        <w:br/>
        <w:t xml:space="preserve">E két esetet vetettem össze a keletnémet határtörvény és tűzparancsok által előírt lőfegyver-használati kötelezettséggel, mely parancshoz szintén lehetett tagadólag vagy elfogadólag viszonyulni.</w:t>
      </w:r>
      <w:r>
        <w:rPr>
          <w:color w:val="000000"/>
          <w:sz w:val="24"/>
          <w:szCs w:val="24"/>
        </w:rPr>
        <w:br/>
        <w:t xml:space="preserve">Majd – vitaindító vagy kutatásösztönző szándékkal – további –, többek közt büntetőjogi relevanciájú – kérdéseket vetettem fel, nyitva hagyva ezzel a vizsgálódás irányát.</w:t>
      </w:r>
      <w:r>
        <w:rPr>
          <w:color w:val="000000"/>
          <w:sz w:val="24"/>
          <w:szCs w:val="24"/>
        </w:rPr>
        <w:br/>
        <w:t xml:space="preserve">Megállapítottam, hogy a jogászság társadalomformáló potenciájának léte hatalmas felelősséggel jár, e letéteménnyel nem szabad visszaélni. Fontosnak tartottam hangsúlyozni, hogy a hasonló esetek magyarországi feldolgozottsága a németéhez képest igencsak sovány.</w:t>
      </w:r>
      <w:r>
        <w:rPr>
          <w:color w:val="000000"/>
          <w:sz w:val="24"/>
          <w:szCs w:val="24"/>
        </w:rPr>
        <w:br/>
        <w:t xml:space="preserve">Végső konklúzióként kijelenthetem, hogy – bárminek is nevezzük, legyen emberi jogok, alapjogok, értékek vagy igazságosság – a természetjog olyan biztos alapot képez, amelyre bátran támaszkodhatunk életünk folyamán.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91443">
    <w:multiLevelType w:val="hybridMultilevel"/>
    <w:lvl w:ilvl="0" w:tplc="23704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91443">
    <w:abstractNumId w:val="31591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418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