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CZIBULYA</w:t>
            </w:r>
          </w:p>
          <w:p w:rsidR="00C275A3" w:rsidRDefault="00A96AEC" w:rsidP="00C275A3">
            <w:pPr>
              <w:pStyle w:val="Hallgatokepzes"/>
            </w:pPr>
            <w:r>
              <w:t>Law</w:t>
            </w:r>
            <w:r>
              <w:br/>
            </w:r>
            <w:r w:rsidR="00E77B23">
              <w:t>Unified, 5.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Nadja El Beheiri</w:t>
            </w:r>
          </w:p>
          <w:p w:rsidR="00DB4822" w:rsidRDefault="00DB4822" w:rsidP="009763E0">
            <w:pPr>
              <w:pStyle w:val="Konzulensektitulus"/>
            </w:pPr>
            <w:r w:rsidRPr="00DB4822">
              <w:t>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 your command – I did it on command or demolition works by means of natural law on the sunny side of the Berlin wall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The aim of my study was to figure out the characteristics and origins of life situations, which includes the changes of sociopolitical and the legal aspects of pragmatical changes, or the turning point which represents a border to the personal and social life.</w:t>
      </w:r>
      <w:r>
        <w:rPr>
          <w:color w:val="000000"/>
          <w:sz w:val="24"/>
          <w:szCs w:val="24"/>
        </w:rPr>
        <w:br/>
        <w:t xml:space="preserve">Thus I and others understand the attributes and try to find an answer, when we should overcome the positive law and reach out to the fields of natural law, in cases where it cannot give us the proper answers.</w:t>
      </w:r>
      <w:r>
        <w:rPr>
          <w:color w:val="000000"/>
          <w:sz w:val="24"/>
          <w:szCs w:val="24"/>
        </w:rPr>
        <w:br/>
        <w:t xml:space="preserve">The basic of my work does not lay on punctual and exact definitions of natural law but to comprehend actual cases and liken them.</w:t>
      </w:r>
      <w:r>
        <w:rPr>
          <w:color w:val="000000"/>
          <w:sz w:val="24"/>
          <w:szCs w:val="24"/>
        </w:rPr>
        <w:br/>
        <w:t xml:space="preserve">I started up with the ’Mauerschützenfälle’ - which case was about those people who died while they were trying to escape, get across at the Berlin Wall - highlighted the special cruelty of the dictatorship. I was searching for the answers of my work’s questions began with the case of Peter Fechter, through the reactions of the power and the society, till the German criminal court used the famous Radbruch’s Formula to find out what is justice.</w:t>
      </w:r>
      <w:r>
        <w:rPr>
          <w:color w:val="000000"/>
          <w:sz w:val="24"/>
          <w:szCs w:val="24"/>
        </w:rPr>
        <w:br/>
        <w:t xml:space="preserve">For the better understanding I confronted two cases in military law from ’Ab Urbe condita’ by Livy. One of the cases was about to deny the order for social and moral benefits and the other case was about the stubborn following of the orders, what leads to damages for the society. After this, i will detail another institution of natural law, named ’precarium’.</w:t>
      </w:r>
      <w:r>
        <w:rPr>
          <w:color w:val="000000"/>
          <w:sz w:val="24"/>
          <w:szCs w:val="24"/>
        </w:rPr>
        <w:br/>
        <w:t xml:space="preserve">These two cases I compared in the reflections of East German border law and the orders of the commandant, for what there were also two possible reactions, follow or reject.</w:t>
      </w:r>
      <w:r>
        <w:rPr>
          <w:color w:val="000000"/>
          <w:sz w:val="24"/>
          <w:szCs w:val="24"/>
        </w:rPr>
        <w:br/>
        <w:t xml:space="preserve">After all I asked a few questions of criminal law to start up arguments and researches and open up the possibility of examination.</w:t>
      </w:r>
      <w:r>
        <w:rPr>
          <w:color w:val="000000"/>
          <w:sz w:val="24"/>
          <w:szCs w:val="24"/>
        </w:rPr>
        <w:br/>
        <w:t xml:space="preserve">I made the statement, which the lawyers are responsible for forming the society and they should not abuse with that. I keep it important to notice that the similar Hungarian cases are not known as the German cases.</w:t>
      </w:r>
      <w:r>
        <w:rPr>
          <w:color w:val="000000"/>
          <w:sz w:val="24"/>
          <w:szCs w:val="24"/>
        </w:rPr>
        <w:br/>
        <w:t xml:space="preserve">All in all I can say that – it is irrelevant that we call it human rights, fundamental rights, justice or moral value – natural law gives us a solid, basic foundation on what we can lean 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89529">
    <w:multiLevelType w:val="hybridMultilevel"/>
    <w:lvl w:ilvl="0" w:tplc="36686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89529">
    <w:abstractNumId w:val="596895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0052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