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TÁRNOK</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Laura Gyeney</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Protection of minorities in the European Union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thesis is to display legal instruments of European Union law that, in practice, could be used for the protection of the inhabitant national minorities, as well as further suggestions and possible legal developments. My thesis will focus particularly on the linguistic rights of Slovakia in relation to Hungarian minorities living in the country, which will not be dissimilar to the linguistic rights of other foreign minorities residing in the EU.</w:t>
      </w:r>
    </w:p>
    <w:p>
      <w:pPr>
        <w:widowControl w:val="on"/>
        <w:pBdr/>
        <w:spacing w:before="240" w:after="240" w:line="240" w:lineRule="auto"/>
        <w:ind w:left="0" w:right="0"/>
        <w:jc w:val="left"/>
      </w:pPr>
      <w:r>
        <w:rPr>
          <w:color w:val="000000"/>
          <w:sz w:val="24"/>
          <w:szCs w:val="24"/>
        </w:rPr>
        <w:t xml:space="preserve">The research is based on the hypothesis that despite the fact that the minorities’ rights are out of the remit of the EU, there are still some legal instruments and institutions which directly or indirectly affect the rights of a minority and can thus be used for their protection. The research exclusively focuses on the law of the EU.</w:t>
      </w:r>
    </w:p>
    <w:p>
      <w:pPr>
        <w:widowControl w:val="on"/>
        <w:pBdr/>
        <w:spacing w:before="240" w:after="240" w:line="240" w:lineRule="auto"/>
        <w:ind w:left="0" w:right="0"/>
        <w:jc w:val="left"/>
      </w:pPr>
      <w:r>
        <w:rPr>
          <w:color w:val="000000"/>
          <w:sz w:val="24"/>
          <w:szCs w:val="24"/>
        </w:rPr>
        <w:t xml:space="preserve">I provide a precise description of Slovakian linguistic rights, which will identify errors in the system and the absurdity of Slovak lingual acts. Through presenting the case of Párkány TV, I am going to argue the possibility of taking these cases to a European court to decide if they are coherent with the European human rights.</w:t>
      </w:r>
    </w:p>
    <w:p>
      <w:pPr>
        <w:widowControl w:val="on"/>
        <w:pBdr/>
        <w:spacing w:before="240" w:after="240" w:line="240" w:lineRule="auto"/>
        <w:ind w:left="0" w:right="0"/>
        <w:jc w:val="left"/>
      </w:pPr>
      <w:r>
        <w:rPr>
          <w:color w:val="000000"/>
          <w:sz w:val="24"/>
          <w:szCs w:val="24"/>
        </w:rPr>
        <w:t xml:space="preserve">In this thesis the question of whether if it is possible to take the documents related to minority rights of the European Council to be part of the primary EU law arises. Furthermore how possible it would be to achieve a strict separation of the terms inhabitant national minority and immigrant national minority. As well as the possible key actions of Hungary and the Hungarian community living in Slovakia for the more efficient protection of the national minorities.</w:t>
      </w:r>
    </w:p>
    <w:p>
      <w:pPr>
        <w:widowControl w:val="on"/>
        <w:pBdr/>
        <w:spacing w:before="240" w:after="240" w:line="240" w:lineRule="auto"/>
        <w:ind w:left="0" w:right="0"/>
        <w:jc w:val="left"/>
      </w:pPr>
      <w:r>
        <w:rPr>
          <w:color w:val="000000"/>
          <w:sz w:val="24"/>
          <w:szCs w:val="24"/>
        </w:rPr>
        <w:t xml:space="preserve">To conclude I will state that there are possible legal instruments in EU law for the protection of minority rights, however the efficiency of these rights are highly dependent upon the future case law of the Court of Justice of the EU. In spite of this, we have to use the current legal instruments to protect the rights of minorities, whilst at the same time we must argue for a basic EU law document which would be about protection of national minority rights.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29679">
    <w:multiLevelType w:val="hybridMultilevel"/>
    <w:lvl w:ilvl="0" w:tplc="20655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29679">
    <w:abstractNumId w:val="88429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219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