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MISZKULY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Lea Láncos </w:t>
            </w:r>
          </w:p>
          <w:p w:rsidR="00DB4822" w:rsidRDefault="00DB4822" w:rsidP="00E11062">
            <w:pPr>
              <w:pStyle w:val="Konzulensek"/>
            </w:pPr>
            <w:r w:rsidRPr="00DB4822">
              <w:t>adjunct,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of Switzerland and the European Union in terms of the free movement of persons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"Masseneinwanderung Stoppen JA": an army of posters calling to stop the massive immigration covered the Swiss walls and cities. On the 9th of February, 2014 the Swiss citizens had to decide on restoring the immigration quota system against the EU citizens.</w:t>
      </w:r>
      <w:r>
        <w:rPr>
          <w:color w:val="000000"/>
          <w:sz w:val="24"/>
          <w:szCs w:val="24"/>
        </w:rPr>
        <w:br/>
        <w:t xml:space="preserve">50.3% of those entitled to vote decided to introduce the immigration quota. Restoring this system violates the existing agreement between the EU and Switzerland on the free movement of persons. The result of the referendum may start a chain reaction, because terminating the contract makes the so called "Clause de Guillotin” clause comes into effect, which makes the other six sectorial agreements inside the so called I. agreement package to become void. As a consequence the result of this referendum may have a huge effect on the whole Switzerland-Eu relations.</w:t>
      </w:r>
      <w:r>
        <w:rPr>
          <w:color w:val="000000"/>
          <w:sz w:val="24"/>
          <w:szCs w:val="24"/>
        </w:rPr>
        <w:br/>
        <w:t xml:space="preserve">In my dissertation I examined the main determining factors (economical, social, political and legal) of the referendum. Then I reviewed the agreement on the free movement of persons, I also investigated the parallelism between the before mentioned bilateral agreement and the problem of migration. I analyzed the statistical figures on population change (migration) in order to find an answer to my question: do the numbers confirm the fear of the Swiss on the mass immigration?</w:t>
      </w:r>
      <w:r>
        <w:rPr>
          <w:color w:val="000000"/>
          <w:sz w:val="24"/>
          <w:szCs w:val="24"/>
        </w:rPr>
        <w:br/>
        <w:t xml:space="preserve">I created a hypothesis, that the result of the referendum does not reflect a stationary situation. In my opinion we cannot base far-reaching conclusions on the result of this referendum. There are multiple solutions for the problems between the EU and Switzerland, I tried to demonstrate a few of them.</w:t>
      </w:r>
      <w:r>
        <w:rPr>
          <w:color w:val="000000"/>
          <w:sz w:val="24"/>
          <w:szCs w:val="24"/>
        </w:rPr>
        <w:br/>
        <w:t xml:space="preserve">In the next few months even years great attention is going to be focused on both the Swiss government and the politicians of the EU. Hopefully, in the near future a solution will be found, which is suitable for Switzerland and the EU as well, and which is acceptable by both parties. I strongly believe, that this solution is a mutual interest of both Bern and Brussels.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92852">
    <w:multiLevelType w:val="hybridMultilevel"/>
    <w:lvl w:ilvl="0" w:tplc="91340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92852">
    <w:abstractNumId w:val="96492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092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