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KRAJECZ</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Kártyás</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liability of the employer for non-material damages, emphasizing the relative's claims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„What good is it for someone to gain the whole world, yet forfeit their soul?” (Mk 8,36)</w:t>
      </w:r>
    </w:p>
    <w:p>
      <w:pPr>
        <w:widowControl w:val="on"/>
        <w:pBdr/>
        <w:spacing w:before="240" w:after="240" w:line="240" w:lineRule="auto"/>
        <w:ind w:left="0" w:right="0"/>
        <w:jc w:val="left"/>
      </w:pPr>
      <w:r>
        <w:rPr>
          <w:color w:val="000000"/>
          <w:sz w:val="24"/>
          <w:szCs w:val="24"/>
        </w:rPr>
        <w:t xml:space="preserve">In my essay I undertake to summarize and analyse the judicial practice of non-material damages. After that I make an attempt to present the potential impact of restitution to the employer’s liability for damages.</w:t>
      </w:r>
    </w:p>
    <w:p>
      <w:pPr>
        <w:widowControl w:val="on"/>
        <w:pBdr/>
        <w:spacing w:before="240" w:after="240" w:line="240" w:lineRule="auto"/>
        <w:ind w:left="0" w:right="0"/>
        <w:jc w:val="left"/>
      </w:pPr>
      <w:r>
        <w:rPr>
          <w:color w:val="000000"/>
          <w:sz w:val="24"/>
          <w:szCs w:val="24"/>
        </w:rPr>
        <w:t xml:space="preserve">All the time I put great emphasis to systematise and evaluate the guideline provisions of the judicial practice of two decades. Above all this was necessary because the institution of restitution shall apply to the employer’s liability for damages.</w:t>
      </w:r>
    </w:p>
    <w:p>
      <w:pPr>
        <w:widowControl w:val="on"/>
        <w:pBdr/>
        <w:spacing w:before="240" w:after="240" w:line="240" w:lineRule="auto"/>
        <w:ind w:left="0" w:right="0"/>
        <w:jc w:val="left"/>
      </w:pPr>
      <w:r>
        <w:rPr>
          <w:color w:val="000000"/>
          <w:sz w:val="24"/>
          <w:szCs w:val="24"/>
        </w:rPr>
        <w:t xml:space="preserve">I would like to demonstrate by presenting the relative’s claim that the inherent rights of person are irretrievable and this proves that the judicial discretion is irreplaceable.</w:t>
      </w:r>
    </w:p>
    <w:p>
      <w:pPr>
        <w:widowControl w:val="on"/>
        <w:pBdr/>
        <w:spacing w:before="240" w:after="240" w:line="240" w:lineRule="auto"/>
        <w:ind w:left="0" w:right="0"/>
        <w:jc w:val="left"/>
      </w:pPr>
      <w:r>
        <w:rPr>
          <w:color w:val="000000"/>
          <w:sz w:val="24"/>
          <w:szCs w:val="24"/>
        </w:rPr>
        <w:t xml:space="preserve">Condition of casual relation between illegal conduct and the injury is to certify the negative impacts of the relative. In these cases the courts examine what changes have occurred in the evolution of family functions according to the non-material violation.</w:t>
      </w:r>
    </w:p>
    <w:p>
      <w:pPr>
        <w:widowControl w:val="on"/>
        <w:pBdr/>
        <w:spacing w:before="240" w:after="240" w:line="240" w:lineRule="auto"/>
        <w:ind w:left="0" w:right="0"/>
        <w:jc w:val="left"/>
      </w:pPr>
      <w:r>
        <w:rPr>
          <w:color w:val="000000"/>
          <w:sz w:val="24"/>
          <w:szCs w:val="24"/>
        </w:rPr>
        <w:t xml:space="preserve">In the judicial practice there is a time honoured principle that only the grief and pain do not found the claim for damages. I analysed the condition of restitution in the Code Civil and it is my opinion that this principle will disprove.</w:t>
      </w:r>
    </w:p>
    <w:p>
      <w:pPr>
        <w:widowControl w:val="on"/>
        <w:pBdr/>
        <w:spacing w:before="240" w:after="240" w:line="240" w:lineRule="auto"/>
        <w:ind w:left="0" w:right="0"/>
        <w:jc w:val="left"/>
      </w:pPr>
      <w:r>
        <w:rPr>
          <w:color w:val="000000"/>
          <w:sz w:val="24"/>
          <w:szCs w:val="24"/>
        </w:rPr>
        <w:t xml:space="preserve">When there is a casual relation between the employee’s health damage and the employer’s conduct the courts will establish the claim for restitution automatically. Whether or not this fact will increase the number of claims is still unknown.</w:t>
      </w:r>
    </w:p>
    <w:p>
      <w:pPr>
        <w:widowControl w:val="on"/>
        <w:pBdr/>
        <w:spacing w:before="240" w:after="240" w:line="240" w:lineRule="auto"/>
        <w:ind w:left="0" w:right="0"/>
        <w:jc w:val="left"/>
      </w:pPr>
      <w:r>
        <w:rPr>
          <w:color w:val="000000"/>
          <w:sz w:val="24"/>
          <w:szCs w:val="24"/>
        </w:rPr>
        <w:t xml:space="preserve">In my view the central element of restitution is not compatible with the previous judicial practice which focused the occurred damages and the penalty. Therefore, it should be considered as a starting point that the personality rights violated are concerned two people at the same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74327">
    <w:multiLevelType w:val="hybridMultilevel"/>
    <w:lvl w:ilvl="0" w:tplc="98165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74327">
    <w:abstractNumId w:val="289743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7531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