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ANDRASH IVAN</w:t>
            </w:r>
          </w:p>
          <w:p w:rsidR="00C275A3" w:rsidRDefault="00A96AEC" w:rsidP="00C275A3">
            <w:pPr>
              <w:pStyle w:val="Hallgatokepzes"/>
            </w:pPr>
            <w:r>
              <w:t>Geography</w:t>
            </w:r>
            <w:r>
              <w:br/>
            </w:r>
            <w:r w:rsidR="00E77B23">
              <w:t>BA, 7. semester</w:t>
            </w:r>
          </w:p>
          <w:p w:rsidR="00C265CE" w:rsidRPr="009E5FF1" w:rsidRDefault="00E77B23" w:rsidP="00C275A3">
            <w:pPr>
              <w:pStyle w:val="Hallgatokepzes"/>
              <w:rPr>
                <w:b/>
                <w:caps/>
              </w:rPr>
            </w:pPr>
            <w:r>
              <w:t>Ferenc Rákóczi II. Transcarpathian Hungarian Institute</w:t>
            </w:r>
            <w:r w:rsidR="00C275A3">
              <w:br/>
            </w:r>
            <w:r w:rsidR="00DB4822">
              <w:t>Department of Geography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Alexander Berghauer </w:t>
            </w:r>
          </w:p>
          <w:p w:rsidR="00DB4822" w:rsidRDefault="00DB4822" w:rsidP="00E11062">
            <w:pPr>
              <w:pStyle w:val="Konzulensek"/>
            </w:pPr>
            <w:r w:rsidRPr="00DB4822">
              <w:t>associate professor, KTDK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tourist oriented evaluation of natural endowments in Rakhiv district </w:t>
      </w:r>
      <w:r>
        <w:t xml:space="preserve"/>
      </w:r>
    </w:p>
    <w:p w:rsidR="00D71DF5" w:rsidRDefault="00D71DF5" w:rsidP="00AD2602">
      <w:pPr>
        <w:jc w:val="both"/>
      </w:pPr>
    </w:p>
    <w:p>
      <w:pPr>
        <w:widowControl w:val="on"/>
        <w:pBdr/>
        <w:spacing w:before="240" w:after="240" w:line="240" w:lineRule="auto"/>
        <w:ind w:left="450" w:right="0"/>
        <w:jc w:val="left"/>
      </w:pPr>
      <w:r>
        <w:rPr>
          <w:color w:val="000000"/>
          <w:sz w:val="24"/>
          <w:szCs w:val="24"/>
        </w:rPr>
        <w:t xml:space="preserve">                                   </w:t>
      </w:r>
      <w:r>
        <w:rPr>
          <w:color w:val="000000"/>
          <w:sz w:val="24"/>
          <w:szCs w:val="24"/>
        </w:rPr>
        <w:br/>
        <w:t xml:space="preserve">                                                                              </w:t>
      </w:r>
      <w:r>
        <w:rPr>
          <w:color w:val="000000"/>
          <w:sz w:val="24"/>
          <w:szCs w:val="24"/>
        </w:rPr>
        <w:br/>
        <w:t xml:space="preserve">          The main goal of our workthe “A tourist oriented evaluation of natural endowments in Rakhiv district” was, to demonstrate on a sample area the designation of core tourism areas with a modernized geoinformatic-based method.</w:t>
      </w:r>
      <w:r>
        <w:rPr>
          <w:color w:val="000000"/>
          <w:sz w:val="24"/>
          <w:szCs w:val="24"/>
        </w:rPr>
        <w:br/>
        <w:t xml:space="preserve">During the analyses of the Rakhiv tourist district we determined thetouristic value of environmental endowments based on a technique used by Gyuricza László and modified by the Alexander Berghauer. During the evaluation the selected area of 1900 km2 was evaluated on the basis of natural conditions. Themodification of the original method was an essential part of the assessmentas the area under discussion had a completely different environmental condition. During these changes the evaluating and graphic options of the modern geoinformatic software have been applied, as a result the original manual evaluation was replaced by a digital-based calculation. The usage of geoinformaticmethods reduced the duration of the work,and the size limit of the assessment. Microsoft Excel and ArcGIS 10.1 geoinformatic softwere used for he calculation of the assessment and itspresentation. For the interpretation of the figures we used a color based evaluation as a result of which the differences between the values became visually more visible.</w:t>
      </w:r>
      <w:r>
        <w:rPr>
          <w:color w:val="000000"/>
          <w:sz w:val="24"/>
          <w:szCs w:val="24"/>
        </w:rPr>
        <w:br/>
        <w:t xml:space="preserve">In the work process favorable natural conditions in different areas of the core aspects of tourism have been determined.            Theevaluated data has been summarized, whereby the potential touristic core areas became apparent. In the Rakhiv district the northern part of Csornohora, the north-east part of the Rakhiv massif and the southeastern part of Szvidovec areas are considered the most valuable. The protected areas in the territorieslaid the foundations for their highlighted role, which form part of the UNESCO world heritage.</w:t>
      </w:r>
      <w:r>
        <w:rPr>
          <w:color w:val="000000"/>
          <w:sz w:val="24"/>
          <w:szCs w:val="24"/>
        </w:rPr>
        <w:br/>
        <w:t xml:space="preserve">            Looking at the results of the work we consider to have managed to reach the stated objective.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65800">
    <w:multiLevelType w:val="hybridMultilevel"/>
    <w:lvl w:ilvl="0" w:tplc="49055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65800">
    <w:abstractNumId w:val="753658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23116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