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REIKA SHITY</w:t>
            </w:r>
          </w:p>
          <w:p w:rsidR="00C275A3" w:rsidRDefault="00A96AEC" w:rsidP="00C275A3">
            <w:pPr>
              <w:pStyle w:val="Hallgatokepzes"/>
            </w:pPr>
            <w:r>
              <w:t>English language and literature major</w:t>
            </w:r>
            <w:r>
              <w:br/>
            </w:r>
            <w:r w:rsidR="00E77B23">
              <w:t>BA, 7. semester</w:t>
            </w:r>
          </w:p>
          <w:p w:rsidR="00C265CE" w:rsidRPr="009E5FF1" w:rsidRDefault="00E77B23" w:rsidP="00C275A3">
            <w:pPr>
              <w:pStyle w:val="Hallgatokepzes"/>
              <w:rPr>
                <w:b/>
                <w:caps/>
              </w:rPr>
            </w:pPr>
            <w:r>
              <w:t>Ferenc Rákóczi II Transcarpathian Hungarian Institute</w:t>
            </w:r>
            <w:r w:rsidR="00C275A3">
              <w:br/>
            </w:r>
            <w:r w:rsidR="00DB4822">
              <w:t>Philology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Husti</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Language Repertoire of Transcarpathian Hungarian Teenagers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seeks to answer the following questions: what is language repertoire? Why is important to examine the language usage of Transcarpathian Hungarian teenagers? How the students of different Transcarpathian Hungarian schools see their language knowledge?</w:t>
      </w:r>
      <w:r>
        <w:rPr>
          <w:color w:val="000000"/>
          <w:sz w:val="24"/>
          <w:szCs w:val="24"/>
        </w:rPr>
        <w:br/>
        <w:t xml:space="preserve">This study has been divided into three parts. The first part will give a theoretical backgroud to the topic, beginning from general notions to more concrete ones. The main issues adressed in this part are: what is verbal repertoire, monolingualism, bilingualism and multilingualism. The study also gives an insight of the language situation of Ukraine and Transcarpathia: what are the main languages spoken in this territories and what kind of conflicts and problems occur because of the different language situations.</w:t>
      </w:r>
      <w:r>
        <w:rPr>
          <w:color w:val="000000"/>
          <w:sz w:val="24"/>
          <w:szCs w:val="24"/>
        </w:rPr>
        <w:br/>
        <w:t xml:space="preserve">Part II-III contain an empirical research on the topic carried out in Transcarpathian Hungarian schools, amongst 75 students aged between 15-17. This study has shown that generally the majority of students do not know the state language at a proper level, but surprisingly they found important to acquire the language because of their carreer and future life. Most of them use foreign languages for watching films and television programmes or while using the Internet. Teenagers use Ukrainian mostly in shops, medical examinations and at the lessons.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90897">
    <w:multiLevelType w:val="hybridMultilevel"/>
    <w:lvl w:ilvl="0" w:tplc="73105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90897">
    <w:abstractNumId w:val="43290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52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