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POPOVICS ROXÁNA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Történelem- és Társadalomtudomány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D.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 II. Rákóczi Ferenc Kárpátaljai Magyar Főiskola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rendszerváltás megítélése az eszenyi lakosok szemszögéből kérdőíves felmérés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Ukrajna politikai, gazdasági és társadalmi helyzetének az instabilitása miatt a lakosság körében egyre aktuálisabb és gyakrabban felvetődő kérdés a : „Mikor és hol volt jobb élni: a Szovjetunióban, vagy a független Ukrajnában?” A téma megközelítése számos kérdést vet fel. Pályamunkám célja– Kárpátalja egy magyarlakta településének – az eszenyi lakosok szemszögéből bemutatni a szovjet, majd a birodalom felbomlása után ukrán állampolgárként eltöltött időszakot, illetve ezen időszakok megítélését. Hiszen ennek a négy évtizedes hovatartozásnak a változása rányomta a bélyegét az élet minden területére és részére. A legjobban azok az emberek tudják megítélni az akkori helyzetet, akik megélték, látták és a saját bőrükön tapasztalták a kor minden változását. A téma aktualitása egyrészt abban rejlik, hogy még semmilyen formában nem történt meg ennek a véleménynek egységes szempontrendszer alapján történő felmérése, másrészt az utóbbi hónapok, a háborús események tükrében szinte mindennapi téma a lakosság körében.</w:t>
      </w:r>
      <w:r>
        <w:rPr>
          <w:color w:val="000000"/>
          <w:sz w:val="24"/>
          <w:szCs w:val="24"/>
        </w:rPr>
        <w:br/>
        <w:t xml:space="preserve">Az előadás célja – Kárpátalja egy magyarlakta településének – az eszenyi lakosok szemszögéből bemutatni a szovjet, majd a birodalom felbomlása után ukrán állampolgárként eltöltött időszakot, illetve ezen időszakok megítélését.</w:t>
      </w:r>
      <w:r>
        <w:rPr>
          <w:color w:val="000000"/>
          <w:sz w:val="24"/>
          <w:szCs w:val="24"/>
        </w:rPr>
        <w:br/>
        <w:t xml:space="preserve">A Szovjetunióhoz és a független Ukrajnához való hovatartozás megítélését egységes szempontrendszer szerint összeállított kérdőív alapján végeztem el. A mintavétel véletlenszerű volt, az 50 adatközlő kiválasztásánál a fő szempont az 50. életévnek a betöltése – ami azt feltételezi, hogy a megkérdezett már munkaviszonnyal rendelkezett a Szovjetunió fennállásának éveiben, vagy legalábbis munkaképes korú volt – illetve, hogy egy háztartásban csak egy kérdőív kerüljön kitöltésre.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11667">
    <w:multiLevelType w:val="hybridMultilevel"/>
    <w:lvl w:ilvl="0" w:tplc="70600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11667">
    <w:abstractNumId w:val="16511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313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