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BENCE CSÁKY</w:t>
            </w:r>
          </w:p>
          <w:p w:rsidR="00C275A3" w:rsidRDefault="00A96AEC" w:rsidP="00C275A3">
            <w:pPr>
              <w:pStyle w:val="Hallgatokepzes"/>
            </w:pPr>
            <w:r>
              <w:t>Master of Law</w:t>
            </w:r>
            <w:r>
              <w:br/>
            </w:r>
            <w:r w:rsidR="00E77B23">
              <w:t>Unified, 9.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Balázs Gellér</w:t>
            </w:r>
          </w:p>
          <w:p w:rsidR="00DB4822" w:rsidRDefault="00DB4822" w:rsidP="009763E0">
            <w:pPr>
              <w:pStyle w:val="Konzulensektitulus"/>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Accident in criminal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monography is based on my thesis that is concerned with the following problem – some cases, that look like common accidents are regulated by the Criminal Law. According to this topic, there are two further questions pending:</w:t>
      </w:r>
      <w:r>
        <w:rPr>
          <w:color w:val="000000"/>
          <w:sz w:val="24"/>
          <w:szCs w:val="24"/>
        </w:rPr>
        <w:br/>
        <w:t xml:space="preserve">1.) What are the actual cases, that can be considered as accidents?</w:t>
      </w:r>
      <w:r>
        <w:rPr>
          <w:color w:val="000000"/>
          <w:sz w:val="24"/>
          <w:szCs w:val="24"/>
        </w:rPr>
        <w:br/>
        <w:t xml:space="preserve">2.) What are the legal aspects that are taken into consideration when the liability of the individual is at stake?</w:t>
      </w:r>
      <w:r>
        <w:rPr>
          <w:color w:val="000000"/>
          <w:sz w:val="24"/>
          <w:szCs w:val="24"/>
        </w:rPr>
        <w:br/>
        <w:t xml:space="preserve">According to my assumption, the Hungarian Penal Law does not give an exact answer for what accident actually is, however, there are several paragraphs in the codex, that operate with this problematic expression.</w:t>
      </w:r>
      <w:r>
        <w:rPr>
          <w:color w:val="000000"/>
          <w:sz w:val="24"/>
          <w:szCs w:val="24"/>
        </w:rPr>
        <w:br/>
        <w:t xml:space="preserve">My expose’ starts with a short presentation about the history of liability in connection with the Criminal Law. In the next sequence, the operative legal aspects of the Hungarian Criminal Law are going to be demonstrated.</w:t>
      </w:r>
      <w:r>
        <w:rPr>
          <w:color w:val="000000"/>
          <w:sz w:val="24"/>
          <w:szCs w:val="24"/>
        </w:rPr>
        <w:br/>
        <w:t xml:space="preserve">According to the hungarian practice, the ’objective model’ of liability is in use. In my point of view, this can be a rightful basis, hovewer, those, who work in the jurisdiction, have to avoid being overly „objective”. Instead of a ’de lege ferenda’ – suggestion, I would like to emphasize the need of change in the approach of this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22527">
    <w:multiLevelType w:val="hybridMultilevel"/>
    <w:lvl w:ilvl="0" w:tplc="99523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22527">
    <w:abstractNumId w:val="60422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893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