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SÁRADY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hulladékgazdálkodási közszolgáltatási rendszer átalakítása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2012-ben átalakított hazai hulladékgazdálkodási szabályozás egyes kérdéseivel foglalkozik. A téma aktualitását az új hulladéktörvény és annak két éves gyakorlati alkalmazása adja. A hulladékokkal való foglalkozás jelentősége a fogyasztói társadalom megjelenésével megnőtt, amely a hulladékgazdálkodási közszolgáltatást jelentős állami feladattá tette.</w:t>
      </w:r>
      <w:r>
        <w:rPr>
          <w:color w:val="000000"/>
          <w:sz w:val="24"/>
          <w:szCs w:val="24"/>
        </w:rPr>
        <w:br/>
        <w:t xml:space="preserve">Bemutatásra kerülnek a dolgozatban a hulladékgazdálkodással kapcsolatos fogalmak, így a közszolgáltatás és a hulladék fogalma is, melyeknek alapvető jelentősége van a téma ismeretéhez. Ezen fogalmak alapvető jellemzőin túl a kapcsolódó Európai Bírósági joggyakorlat is elemzés tárgya.</w:t>
      </w:r>
      <w:r>
        <w:rPr>
          <w:color w:val="000000"/>
          <w:sz w:val="24"/>
          <w:szCs w:val="24"/>
        </w:rPr>
        <w:br/>
        <w:t xml:space="preserve">Ezt követően a dolgozat a megnövekedett állami szerepvállalást előíró új hazai szabályozás Európai Uniós joggal való összhangját vizsgálja. Az elemzés során röviden áttekintésre kerülnek a kapcsolódó versenyszabályok és az állami támogatások joga is, valamint a monopolizált és a liberalizált közszolgáltatás-szervezési megoldások jellegzetességei.</w:t>
      </w:r>
      <w:r>
        <w:rPr>
          <w:color w:val="000000"/>
          <w:sz w:val="24"/>
          <w:szCs w:val="24"/>
        </w:rPr>
        <w:br/>
        <w:t xml:space="preserve">A vizsgálat hangsúlyos része a hazai joganyag megfelelése a környezetjogi alapelveknek, különös tekintettel a szennyező fizet elvének alkalmazására. Ekörben elsősorban a lerakási járulék hulladékgazdálkodókra való terhelésével foglalkozik a dolgozat.</w:t>
      </w:r>
      <w:r>
        <w:rPr>
          <w:color w:val="000000"/>
          <w:sz w:val="24"/>
          <w:szCs w:val="24"/>
        </w:rPr>
        <w:br/>
        <w:t xml:space="preserve">Említésre kerülnek az európai országokban alkalmazott hulladékgazdálkodási modellek is.</w:t>
      </w:r>
      <w:r>
        <w:rPr>
          <w:color w:val="000000"/>
          <w:sz w:val="24"/>
          <w:szCs w:val="24"/>
        </w:rPr>
        <w:br/>
        <w:t xml:space="preserve">A dolgozat arra a következtetésre jut, hogy a korábbi rendszertől és az EU-s alapelvektől merőben más prioritásokat képviselő, hangsúlyosabb állami szerepvállalást megtestesítő, átalakított hazai rendszer fenntarthatósági és gazdasági működőképessége problémákat vethet fel, melyek megoldása a közeljövő kiemelt feladata. Etekintetben a hazai jog nem ellentétes az uniós versenyjoggal, valamint a belső piacra és az állami támogatásokra vonatkozó joggal sem. Ugyanakkor a szennyező fizet alapelve sérül, hiszen a jogalkotó nem a hulladék termelőjével, hanem a hulladék kezelését végző közszolgáltatóval fizetteti meg a környezetszennyezés megelőzésével és kezelésével kapcsolatos költségeket. Ezzel a hulladéktermelőket a szabályozás nem ösztönzi a hulladéktermelés csökkentésére és az erőforrások hatékony felhasználására.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32131">
    <w:multiLevelType w:val="hybridMultilevel"/>
    <w:lvl w:ilvl="0" w:tplc="84805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32131">
    <w:abstractNumId w:val="24732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097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