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SÁRADY</w:t>
            </w:r>
          </w:p>
          <w:p w:rsidR="00C275A3" w:rsidRDefault="00A96AEC" w:rsidP="00C275A3">
            <w:pPr>
              <w:pStyle w:val="Hallgatokepzes"/>
            </w:pPr>
            <w:r>
              <w:t>Law</w:t>
            </w:r>
            <w:r>
              <w:br/>
            </w:r>
            <w:r w:rsidR="00E77B23">
              <w:t>Unified, 8.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Hoffman</w:t>
            </w:r>
          </w:p>
          <w:p w:rsidR="00DB4822" w:rsidRDefault="00DB4822" w:rsidP="00E11062">
            <w:pPr>
              <w:pStyle w:val="Konzulensek"/>
            </w:pPr>
            <w:r w:rsidRPr="00DB4822">
              <w:t>associate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reform of the Hungarian waste management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deals with some issues of the domestic waste management legislation transformed in 2012. The theme is actual because of the new waste statute and its application in the last two years. The importance of this topic has grown with the appearance of the consumer society, which has become the waste management as a major task of the state.</w:t>
      </w:r>
      <w:r>
        <w:rPr>
          <w:color w:val="000000"/>
          <w:sz w:val="24"/>
          <w:szCs w:val="24"/>
        </w:rPr>
        <w:br/>
        <w:t xml:space="preserve">The concepts related to waste management are presented in the paper, like the concept of public service and waste, which are great significance to the learning of the topic. In addition to the characteristics of the concepts, the practice of the European Court of Justice is also the object of the analysis.</w:t>
      </w:r>
      <w:r>
        <w:rPr>
          <w:color w:val="000000"/>
          <w:sz w:val="24"/>
          <w:szCs w:val="24"/>
        </w:rPr>
        <w:br/>
        <w:t xml:space="preserve">After that the paper examines the consistency of the increased state intervention with the EU law. The analysis briefly surveys the relevant competition law rules and the state aid law, as well as the characteristics of the monopolistic and the liberalized public service organization methods.</w:t>
      </w:r>
      <w:r>
        <w:rPr>
          <w:color w:val="000000"/>
          <w:sz w:val="24"/>
          <w:szCs w:val="24"/>
        </w:rPr>
        <w:br/>
        <w:t xml:space="preserve">The major part of the examination is the compliance of the domestic law with the environmental legal principles, in particular the application of the polluter pays principle. Primarily deals with the disposal contribution strained on the waste transporters.</w:t>
      </w:r>
      <w:r>
        <w:rPr>
          <w:color w:val="000000"/>
          <w:sz w:val="24"/>
          <w:szCs w:val="24"/>
        </w:rPr>
        <w:br/>
        <w:t xml:space="preserve">The waste management models used in European countries are also mentioned.</w:t>
      </w:r>
      <w:r>
        <w:rPr>
          <w:color w:val="000000"/>
          <w:sz w:val="24"/>
          <w:szCs w:val="24"/>
        </w:rPr>
        <w:br/>
        <w:t xml:space="preserve">The paper concludes that the reformed Hungarian system representing entirely different priorities with a stronger state intervention, that the previous domestic system and the EU’s basic principles, sets some problem of sustainability and economic viability. Its solution is the key task for the near future. These points of domestic law isn’t inconsistent with the EU law and the law of the internal market or the state aid law either. However it violates the polluter pays principle, because the statute administering the waste transporters to pay for the costs associated with the pollution prevention and the treatment of pollution, not the waste producers. This kind of regulation doesn’t encourage the waste producers to reduce the waste production or use the resources more efficient.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68876">
    <w:multiLevelType w:val="hybridMultilevel"/>
    <w:lvl w:ilvl="0" w:tplc="57574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68876">
    <w:abstractNumId w:val="662688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90145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