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KISS</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Virag Balogh</w:t>
            </w:r>
          </w:p>
          <w:p w:rsidR="00DB4822" w:rsidRDefault="00DB4822" w:rsidP="00E11062">
            <w:pPr>
              <w:pStyle w:val="Konzulensek"/>
            </w:pPr>
            <w:r w:rsidRPr="00DB4822">
              <w:t>PhD student, ELTE ÁJK</w:t>
            </w:r>
          </w:p>
        </w:tc>
      </w:tr>
      <w:tr w:rsidR="00DB4822" w:rsidTr="00DB4822">
        <w:tc>
          <w:tcPr>
            <w:tcW w:w="9854" w:type="dxa"/>
          </w:tcPr>
          <w:p w:rsidR="00DB4822" w:rsidRPr="00DB4822" w:rsidRDefault="00DB4822" w:rsidP="004D7940">
            <w:pPr>
              <w:pStyle w:val="Konzulensek"/>
            </w:pPr>
            <w:r w:rsidRPr="00DB4822">
              <w:t>Janos Fazekas</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Competition Authority as a regulating authority in Hungarian medicine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Commercials of medicine appear more and more recently on different media platforms these days. Companies put in a lot of effort to create a commercial practice. They have abided by the laws and regulations, both those that are defining the nature of the product and those that ensure the protection of consumers. Due to technical innovation, there is no sufficient way of legislation; what is more, abstract legal standards cause difficulties to participants of the market in creating a legitimate behaviour. There is, however, a strong authority in place: the Hungarian Competition Authority (hereinafter: HCA) the concept of unfair commercial practices will be filled with content by each and every opened case; the HCA’s statements influence the behaviour of the companies in the future. In conclusion, the specific standard’s normative natures become stronger. The question, to which I am searching in my paper the answer for, whether the Hungarian Competition Authority is identifiable as a regulating authority. In the beginning of my paper I introduce the specific features of the medicine market and the variety of medicine that can be advertised, and I also take a closer look at the regulations with respect to the consumers. As a result of the aspiration of the European Union in terms of law harmonization, Act XLVII of 2008 on the Prohibition of Unfair Business-to-Consumer Commercial Practices which is about the unfair market practice against consumers, was enacted, to which I rely during introducing the concept of unfairness and misleading commercials. I also highlight the 2014 modifications in Act LVII of 1996 on the Prohibition of Unfair Trading Practices and Unfair Competition. In terms of comparative commercials, than I expound the requirements of medicine distribution based on Act XCVIII of 2006. Then I give an introduction to the previously mentioned HCA. First, I analyse the regulating authorities in general – highlighting the different views inland. </w:t>
      </w:r>
    </w:p>
    <w:p>
      <w:pPr>
        <w:widowControl w:val="on"/>
        <w:pBdr/>
        <w:spacing w:before="240" w:after="240" w:line="240" w:lineRule="auto"/>
        <w:ind w:left="0" w:right="0"/>
        <w:jc w:val="left"/>
      </w:pPr>
      <w:r>
        <w:rPr>
          <w:color w:val="000000"/>
          <w:sz w:val="24"/>
          <w:szCs w:val="24"/>
        </w:rPr>
        <w:t xml:space="preserve">During my research I am writing about the fact that how much the HCA meets the requirements of regulating authorities. HCA decisions’ text analyses serve as a basis to my conclusion. Finally, I sum up whether in my opinion the HCA is to be considered to be a regulating authority in medicine market or not, with regards to its special organizational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4933">
    <w:multiLevelType w:val="hybridMultilevel"/>
    <w:lvl w:ilvl="0" w:tplc="56170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4933">
    <w:abstractNumId w:val="55414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72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