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Fuglinszky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jogalkotással okozott kárért való felelősség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jogalkotásért való felelősség kérdése az utóbbi években különleges figyelmet kapott a jogirodalomban, melynek legfőbb oka, hogy a magyar jogrendszer már hosszú ideje adós a jogalkotáshoz kapcsolódó felelősség kialakításával. Bár az új Polgári Törvénykönyv kodifikációja során a kérdés törvényben való rendezése már a 2002-es koncepcióban felmerült és a Bizottsági Javaslat is széles körben rendelkezett a jogalkotással okozott kárért való felelősségről, a 2014. március 15-én hatályba lépett törvény mégsem tartalmaz a normaalkotásra vonatkozóan speciális tényállást.</w:t>
      </w:r>
      <w:r>
        <w:rPr>
          <w:color w:val="000000"/>
          <w:sz w:val="24"/>
          <w:szCs w:val="24"/>
        </w:rPr>
        <w:br/>
        <w:t xml:space="preserve">Az Országgyűlés döntése következtében – és a törvényhez kapcsolódó miniszteri indokolás alapján is – a bíróságok feladata, hogy – az eddigi elzárkózó gyakorlatukat felülbírálva – kialakítsák azt a jogállami keretekbe illeszkedő feltételrendszert, amely alapján a jogalkotó felelősségre vonható. De vajon az új Ptk. mely szakaszát kell alkalmazni? Mikor jogellenes a jogalkotó tevékenysége és hogyan állapíthatja ezt meg egy polgári bíróság? Van-e lehetőség a kimentésre és milyen a jogalkotóval szemben támasztott gondossági mérce? És egyáltalán, hogyan egyeztethető össze a hatalmi ágak szétválasztásának elve a jogalkotó kárfelelősségével?</w:t>
      </w:r>
      <w:r>
        <w:rPr>
          <w:color w:val="000000"/>
          <w:sz w:val="24"/>
          <w:szCs w:val="24"/>
        </w:rPr>
        <w:br/>
        <w:t xml:space="preserve">Dolgozatomban a fentiekre és a jogalkotással okozott károkért való felelősség kapcsán felmerülő további kérdésekre választ adva teszek kísérletet egy olyan dogmatikai rendszer megalapozására, mely megfelel az Alaptörvényből fakadó és a hazánkkal szemben támasztott közösségi követelményeknek, és így valódi jogvédelmet nyújt a jogalanyoknak a jogalkotó károkozásával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06389">
    <w:multiLevelType w:val="hybridMultilevel"/>
    <w:lvl w:ilvl="0" w:tplc="66638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06389">
    <w:abstractNumId w:val="73606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541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