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ORBÁN</w:t>
            </w:r>
          </w:p>
          <w:p w:rsidR="00C275A3" w:rsidRDefault="00A96AEC" w:rsidP="00C275A3">
            <w:pPr>
              <w:pStyle w:val="Hallgatokepzes"/>
            </w:pPr>
            <w:r>
              <w:t>Juris Doctor</w:t>
            </w:r>
            <w:r>
              <w:br/>
            </w:r>
            <w:r w:rsidR="00E77B23">
              <w:t>Unified, 7.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Ádám Fuglinszky </w:t>
            </w:r>
          </w:p>
          <w:p w:rsidR="00DB4822" w:rsidRDefault="00DB4822" w:rsidP="00E11062">
            <w:pPr>
              <w:pStyle w:val="Konzulensek"/>
            </w:pPr>
            <w:r w:rsidRPr="00DB4822">
              <w:t>Associate professor with habilitation,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liability of the legislative organizations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question of the legislature’s liability has had special attention in the last couple of years in the legal literature. The main reason for that is that the Hungarian legal system did not solve the problem according to the liability of the legislative organizations. Although during the codification of the new Hungarian Civil Code the answering of the question in the act was already suggested in the Concept 2002, and the Proposition of the Committee also offered a solution, the act, which came into effect 15th March 2014 does not contain a special ruling on the liability of the legislature.</w:t>
      </w:r>
      <w:r>
        <w:rPr>
          <w:color w:val="000000"/>
          <w:sz w:val="24"/>
          <w:szCs w:val="24"/>
        </w:rPr>
        <w:br/>
        <w:t xml:space="preserve">Because of the decision of the Parliament – and according to the reasoning of the act by the minister – it will be the task of the courts to revise their skeptical praxis and create the conditions of the legislative organizations’ liability, which meet the standards of the rule of law. But which article of the Civil Code must be applied? When is the activity of the legislative organizations unlawful and how can civil court verify that? Does the organization have the opportunity to prove that its conduct was not culpable and what kind of activity is expected from the legislature? And above all, how can the principle of separation of powers be arranged with the liability of the legislative organizations?</w:t>
      </w:r>
      <w:r>
        <w:rPr>
          <w:color w:val="000000"/>
          <w:sz w:val="24"/>
          <w:szCs w:val="24"/>
        </w:rPr>
        <w:br/>
        <w:t xml:space="preserve">In my paper I give answers for the questions above, and for the other problems according to the liability of the legislature. I attempt to establish a legal doctrine, that meets the requirements originated from the Constitution of Hungary and the legal system of the European Union, and which gives a real protection for the legal and natural persons against the damage caused by the legislative organizations.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13464">
    <w:multiLevelType w:val="hybridMultilevel"/>
    <w:lvl w:ilvl="0" w:tplc="44500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13464">
    <w:abstractNumId w:val="173134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2790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