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OTTÓFFY</w:t>
            </w:r>
          </w:p>
          <w:p w:rsidR="00C275A3" w:rsidRDefault="00A96AEC" w:rsidP="00C275A3">
            <w:pPr>
              <w:pStyle w:val="Hallgatokepzes"/>
            </w:pPr>
            <w:r>
              <w:t>Juris Doctor</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Faludi</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Protection of Industrial Property in the People's Republic China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first glance, the current status of Chinese industrial property rights can seem to be a quite distant subject. However, due to the international trade system of the 21th century it has a direct impact on the Hungarian enterprises and the economy itself. The frequent occurrence of infringements draws the attention of economic and political leaders all over the world. It raises a question: to what extent are the problems caused by regulatory deficiencies? Due to the complexity and volume of the topic, I narrowed my study to an enterprise’s most important questions while entering the Chinese market: acquiring legal protection for their trademarks and geographical indications.</w:t>
      </w:r>
    </w:p>
    <w:p>
      <w:pPr>
        <w:widowControl w:val="on"/>
        <w:pBdr/>
        <w:spacing w:before="240" w:after="240" w:line="240" w:lineRule="auto"/>
        <w:ind w:left="0" w:right="0"/>
        <w:jc w:val="left"/>
      </w:pPr>
      <w:r>
        <w:rPr>
          <w:color w:val="000000"/>
          <w:sz w:val="24"/>
          <w:szCs w:val="24"/>
        </w:rPr>
        <w:t xml:space="preserve">The analysis of the current status of Chinese protection of industrial property cannot exclude neither the historical hiatus of the protection of intellectual property and exclusive rights, nor the differences of the conceptions caused by cultural differences. Still, there is a persistent and rapid progress in the area of regulations. The main topic of my study is looking at where this progress is standing right now and what its future directions are.</w:t>
      </w:r>
    </w:p>
    <w:p>
      <w:pPr>
        <w:widowControl w:val="on"/>
        <w:pBdr/>
        <w:spacing w:before="240" w:after="240" w:line="240" w:lineRule="auto"/>
        <w:ind w:left="0" w:right="0"/>
        <w:jc w:val="left"/>
      </w:pPr>
      <w:r>
        <w:rPr>
          <w:color w:val="000000"/>
          <w:sz w:val="24"/>
          <w:szCs w:val="24"/>
        </w:rPr>
        <w:t xml:space="preserve">I analyzed the national regulations and the international agreements, as well as how these are put into practice in case of both trademarks and the geographical indications; all the while taking into consideration the Chinese specialties, problems and deficiencies. How can a Hungarian enterprise secure effective protection in China? What kind of deficiencies does the regulation have and how does practice exploit these? What kind of innovations did the 2013 Revision of the Trademark Law bring, and what new questions did it raise? What kinds of difficulties are caused by the parallel regulations of the geographical indications and which state interests maintain still this system?</w:t>
      </w:r>
    </w:p>
    <w:p>
      <w:pPr>
        <w:widowControl w:val="on"/>
        <w:pBdr/>
        <w:spacing w:before="240" w:after="240" w:line="240" w:lineRule="auto"/>
        <w:ind w:left="0" w:right="0"/>
        <w:jc w:val="left"/>
      </w:pPr>
      <w:r>
        <w:rPr>
          <w:color w:val="000000"/>
          <w:sz w:val="24"/>
          <w:szCs w:val="24"/>
        </w:rPr>
        <w:t xml:space="preserve">My aim is to bring attention to the difficulties which an enterprise has to cope with when entering the Chinese market due to either cultural differences or the failures of the regulation. I also bring attention to the current and future opportunities of Chinese legal development as well as their economic importance.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09415">
    <w:multiLevelType w:val="hybridMultilevel"/>
    <w:lvl w:ilvl="0" w:tplc="1745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09415">
    <w:abstractNumId w:val="71309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68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