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RAJKAI BENCE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Menyhárd Attila</w:t>
            </w:r>
          </w:p>
          <w:p w:rsidR="00DB4822" w:rsidRDefault="00DB4822" w:rsidP="00E11062">
            <w:pPr>
              <w:pStyle w:val="Konzulensek"/>
            </w:pPr>
            <w:r w:rsidRPr="00DB4822">
              <w:t>Tanszékvezető egyetemi tanár, ELTE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Tisztességtelenség fogalmának értelmezése, különös tekintettel a devizaszerződésekkel kapcsolatos kúriai döntésekre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tisztességtelenségtelen szerződési kikötések szabályait a magyar bíróságok a devizaszerződésekkel kapcsolatos kúriai döntések megszületéséig ritkán, főképpen szubszidiárius jelleggel alkalmazták. A bírói gyakorlat nem alakította ki a tisztességtelenség megállapításának tipikus esetköreit és nem dolgozta ki azokat az elveket, amik mentén jelentése, jogrendszerben betöltött funkciója kikristályosodhatott volna. Felvetődik a kérdés, hogy kialakult joggyakorlat hiányában mire támaszkodhatott a Kúria elemzése, és ennek megfelelően milyen jellegzetességekkel bír maga az értelmezés, illetve az mennyiben iránymutató a jövőre nézve.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Dolgozatomban tehát arra a megállapításra jutottam, hogy a Kúria a devizaszerződésekkel kapcsolatos döntéseit kialakult joggyakorlat hiányában a német jogban, illetve az európai uniós jogban megjelenő modellek alapul vételével hozta meg. A kúriai döntések egy külföldi jogrendszer bírósági gyakorlatának vívmányait próbálták meghonosítani, annak ellenére, hogy a magyar jogban nincs olyan jogintézmény, amire az átvett modellt analóg módon fel lehetne építeni, illetve a közösségi jog általános, iránymutató jellegű rendelkezéseit alkalmazták egy speciális kérdésben, annak ellenére, hogy a magyar jogrendszerben nem található az adott kérdésben releváns speciális jogszabály.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döntéshozatal körülményei kimutatható módon befolyással bírtak a döntések jellegére. Az ebből származó következetlenségek az egyértelmű és érthető megfogalmazás, valamint az átláthatóság elve kapcsán mutatkoznak meg a legszembetűnőbben. Összességében a Kúria értelmezése egy eseti problémára adott eseti jellegű válaszként értékelhető. Véleményem szerint a döntéseket a jövőre nézve nem tekinthetjük iránymutatónak.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5286030">
    <w:multiLevelType w:val="hybridMultilevel"/>
    <w:lvl w:ilvl="0" w:tplc="9279956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5286030">
    <w:abstractNumId w:val="3528603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6376024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