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RAJKAI</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Menyhárd</w:t>
            </w:r>
          </w:p>
          <w:p w:rsidR="00DB4822" w:rsidRDefault="00DB4822" w:rsidP="00E11062">
            <w:pPr>
              <w:pStyle w:val="Konzulensek"/>
            </w:pPr>
            <w:r w:rsidRPr="00DB4822">
              <w:t>professor and head of department,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INTERPRETATION OF UNFAIRNESS UNDER HUNGARIAN LAW, WITH PARTICULAR ATTENTION TO THE DECISIONS OF THE CURIA IN CONNECTION WITH FOREIGN CURRANCY CONTRACTS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Before the decisions of the Curia in connection with the foreign currency contracts the rules of the unfair contracts have been applied by the Hungarian courts very rarely. The judicial practice has not defined the typical cases when unfairness may be established and has not developed the principles, which may serve as a basis for the determining its meaning and defining its place inside the legal system. Th e question arose: without a judicial practice, what could have served as a basis for the analysis of the Curia, and accordingly what are the main characteristics of the interpretation, and whether it can serve as a guidance in the future.</w:t>
      </w:r>
    </w:p>
    <w:p>
      <w:pPr>
        <w:widowControl w:val="on"/>
        <w:pBdr/>
        <w:spacing w:before="240" w:after="240" w:line="240" w:lineRule="auto"/>
        <w:ind w:left="0" w:right="0"/>
        <w:jc w:val="left"/>
      </w:pPr>
      <w:r>
        <w:rPr>
          <w:color w:val="000000"/>
          <w:sz w:val="24"/>
          <w:szCs w:val="24"/>
        </w:rPr>
        <w:t xml:space="preserve">In my thesis I have established that because of the lack of a judicial practce the Curia used the german law and the law of the european union as a basis for its analysis. The decisions of the Curia tried to introduce the achievement of foreign legal systems to Hungarian law, contrary to the fact that in Hungarian law there is no such legal institution which could serve as a basis for the used model; and the general rules of the european law have been used in a special case, contrary to the fact that Hungarian law does not have relevant legal rules.</w:t>
      </w:r>
    </w:p>
    <w:p>
      <w:pPr>
        <w:widowControl w:val="on"/>
        <w:pBdr/>
        <w:spacing w:before="240" w:after="240" w:line="240" w:lineRule="auto"/>
        <w:ind w:left="0" w:right="0"/>
        <w:jc w:val="left"/>
      </w:pPr>
      <w:r>
        <w:rPr>
          <w:color w:val="000000"/>
          <w:sz w:val="24"/>
          <w:szCs w:val="24"/>
        </w:rPr>
        <w:br/>
        <w:t xml:space="preserve">The conditios of the decisiontaking influenced the character of the decisions. In general, the decision of the Curia is an ad hoc answer to an ad hoc problem. In my opinion the statements of the Curia may not serve as a basis for decisions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16104">
    <w:multiLevelType w:val="hybridMultilevel"/>
    <w:lvl w:ilvl="0" w:tplc="93068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16104">
    <w:abstractNumId w:val="23616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3600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