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VASICZA MÁRIA REBEKA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Molnár Hella Katalin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sérelemdíj rendszertani elhelyezése és összehasonlítása a német fájdalomdíjjal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sérelemdíj a nem vagyoni kártérítés intézményéből alakult ki, a 2014. március 15-ével hatályba lépő Polgári Törvénykönyv építette be a jogrendszerbe. Funkciója és dogmatikai felépítése majdnem teljesen megegyezik a korábbi nem vagyoni kártérítéssel, néhány ponton azonban újításokat vezetett be a jogalkotó. Dolgozatomban többek között ezeket az újdonságokat tekintem át.</w:t>
      </w:r>
      <w:r>
        <w:rPr>
          <w:color w:val="000000"/>
          <w:sz w:val="24"/>
          <w:szCs w:val="24"/>
        </w:rPr>
        <w:br/>
        <w:t xml:space="preserve">A kutatásom legfontosabb célkitűzése az volt, hogy rendszerszinten tekinthessem át a jogintézményt. Így aztán nem az egyes személyiségi jogokat vizsgáltam, bár ez a téma is rengeteg lehetőséget hordoz magában, hanem próbáltam a sérelemdíj dogmatikai sajátosságait áttekinteni. Foglalkoztam azzal, hogy milyen jogsértések esetén követelhető sérelemdíj, csak a személyiségi jogok megsértése teszi ezt lehetővé vagy vannak-e esetleg más opciók is. Azt is áttekintettem, milyen rendszerek mentén lehetséges a sérelemdíj megítélése. Itt szembeállítottam az objektív és a szubjektív rendszert, majd az objektív rendszert a hátrány bizonyításának szükségességével.</w:t>
      </w:r>
      <w:r>
        <w:rPr>
          <w:color w:val="000000"/>
          <w:sz w:val="24"/>
          <w:szCs w:val="24"/>
        </w:rPr>
        <w:br/>
        <w:t xml:space="preserve">A dolgozat második felében a német fájdalomdíjat tanulmányoztam. Megvizsgáltam, milyen feltételekkel adható fájdalomdíj a Bürgerliches Gesetzbuch alapján, és hogyan fejlesztette ki a német jog az általános személyiségi jog megsértésére való hivatkozás lehetőségét, aminek a jogalapja a Grundgesetz második cikke lett.</w:t>
      </w:r>
      <w:r>
        <w:rPr>
          <w:color w:val="000000"/>
          <w:sz w:val="24"/>
          <w:szCs w:val="24"/>
        </w:rPr>
        <w:br/>
        <w:t xml:space="preserve">Külön részét képezi mind a két jogrendszer elemzésének a jogi személyeknek adható sérelemdíj illetve fájdalomdíj problematikája. Talán itt voltak a legszembetűnőbb különbségek, mivel a magyar jog már kezdetektől megítélhetőnek tartja nem természetes személyek számára is a nem vagyoni kártérítést, a német jogalkalmazás azt mindig is elutasította.</w:t>
      </w:r>
      <w:r>
        <w:rPr>
          <w:color w:val="000000"/>
          <w:sz w:val="24"/>
          <w:szCs w:val="24"/>
        </w:rPr>
        <w:br/>
        <w:t xml:space="preserve">A dolgozat végén röviden összehasonlítottam a két jogrendszert, megpróbáltam állást foglalni abban a kérdésben, hogy melyik megoldást találom a szerencsésebbnek. A jogintézmény magyar kialakítása mellett szól az áttekinthetősége, a német variációban viszont a bírói gyakorlat fejlődése, a fájdalomdíj fokozatos dogmatikai kimunkálása ragadott meg.</w:t>
      </w:r>
      <w:r>
        <w:rPr>
          <w:color w:val="000000"/>
          <w:sz w:val="24"/>
          <w:szCs w:val="24"/>
        </w:rPr>
        <w:br/>
        <w:t xml:space="preserve">Remélem, a dolgozatommal sikerül közelebb hozni az Olvasóhoz a két jogrendszer immateriális kártérítésre vonatkozó szabályozását és bepillantást engedni ebbe az érdekfeszítő jogterületbe.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749155">
    <w:multiLevelType w:val="hybridMultilevel"/>
    <w:lvl w:ilvl="0" w:tplc="640867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749155">
    <w:abstractNumId w:val="477491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60997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