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REBEKA VASICZA</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Hella Katalin Molnár</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system-level analysis of the Hungarian solatium doloris, and its comparison with the German "Schmerzensgeld"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solatium doloris evolved from the immaterial relief - it became part of the legal system with the civil code, which came into force on the 15th March, 2014.</w:t>
      </w:r>
      <w:r>
        <w:rPr>
          <w:color w:val="000000"/>
          <w:sz w:val="24"/>
          <w:szCs w:val="24"/>
        </w:rPr>
        <w:br/>
        <w:t xml:space="preserve">Its function and dogmatic structure is almost identical with the prior immaterial relief, but some modifications have been made by the legislator. My essay describes these modifications among other topics.</w:t>
      </w:r>
      <w:r>
        <w:rPr>
          <w:color w:val="000000"/>
          <w:sz w:val="24"/>
          <w:szCs w:val="24"/>
        </w:rPr>
        <w:br/>
        <w:t xml:space="preserve">The main goal of my research was to give a system-level overview of this legal institution. So I did not examine certain personal rights, although that topic is also full of possibilities, but I tried to focus on the dogmatic aspects of the relief.</w:t>
      </w:r>
      <w:r>
        <w:rPr>
          <w:color w:val="000000"/>
          <w:sz w:val="24"/>
          <w:szCs w:val="24"/>
        </w:rPr>
        <w:br/>
        <w:t xml:space="preserve">I have examined what violation of law leads to the adjudication of solatium doloris: the violation of personal rights only or there may be other possibilities too. I have also detailed, under what theoretical system is the adjudication possible.</w:t>
      </w:r>
      <w:r>
        <w:rPr>
          <w:color w:val="000000"/>
          <w:sz w:val="24"/>
          <w:szCs w:val="24"/>
        </w:rPr>
        <w:br/>
        <w:t xml:space="preserve">At this point, I have compared the objective and subjective systems, and the objective system with the necessity of proving the disadvantage.</w:t>
      </w:r>
      <w:r>
        <w:rPr>
          <w:color w:val="000000"/>
          <w:sz w:val="24"/>
          <w:szCs w:val="24"/>
        </w:rPr>
        <w:br/>
        <w:t xml:space="preserve">The second part of the essay discusses the German "Schmerzensgeld". I have examined, what conditions are necessary to adjudicate "Schmerzensgeld" under the German civil code ("Bürgerliches Gesetzbuch"), and how the German judication improved the possibility of referring to the violation of general personal rights based on the second article of the German constitution ("Grundgesetz").</w:t>
      </w:r>
      <w:r>
        <w:rPr>
          <w:color w:val="000000"/>
          <w:sz w:val="24"/>
          <w:szCs w:val="24"/>
        </w:rPr>
        <w:br/>
        <w:t xml:space="preserve">The topic of giving immaterial relief to legal entities is a separate part of my analysis of both legal systems. This topic presented the most significant differences, since the Hungarian legal system allows the adjudication of immaterial relief to a non-natural person from the beginning, while the German law has always refused it.</w:t>
      </w:r>
      <w:r>
        <w:rPr>
          <w:color w:val="000000"/>
          <w:sz w:val="24"/>
          <w:szCs w:val="24"/>
        </w:rPr>
        <w:br/>
        <w:t xml:space="preserve">The last chapter briefly compares the two legal systems, and I attempted to decide, which solution is better.The Hungarian version is more transparent, but the German has convinced me with the evolution of judicial practice and the gradual dogmatic improvement of the "Schmerzensgeld".</w:t>
      </w:r>
      <w:r>
        <w:rPr>
          <w:color w:val="000000"/>
          <w:sz w:val="24"/>
          <w:szCs w:val="24"/>
        </w:rPr>
        <w:br/>
        <w:t xml:space="preserve">I hope that my essay gives the Reader an insight into the regulations of immaterial relief in these legal systems, and introduces this exciting legal area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78864">
    <w:multiLevelType w:val="hybridMultilevel"/>
    <w:lvl w:ilvl="0" w:tplc="25753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78864">
    <w:abstractNumId w:val="46078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464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