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KISPÁL</w:t>
            </w:r>
          </w:p>
          <w:p w:rsidR="00C275A3" w:rsidRDefault="00A96AEC" w:rsidP="00C275A3">
            <w:pPr>
              <w:pStyle w:val="Hallgatokepzes"/>
            </w:pPr>
            <w:r>
              <w:t> law</w:t>
            </w:r>
            <w:r>
              <w:br/>
            </w:r>
            <w:r w:rsidR="00E77B23">
              <w:t>Unified, 9.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dr.Tamás Éless</w:t>
            </w:r>
          </w:p>
          <w:p w:rsidR="00DB4822" w:rsidRDefault="00DB4822" w:rsidP="00E11062">
            <w:pPr>
              <w:pStyle w:val="Konzulensek"/>
            </w:pPr>
            <w:r w:rsidRPr="00DB4822">
              <w:t>professor, ELTE ÁJK</w:t>
            </w:r>
          </w:p>
        </w:tc>
      </w:tr>
      <w:tr w:rsidR="00DB4822" w:rsidTr="00DB4822">
        <w:tc>
          <w:tcPr>
            <w:tcW w:w="9854" w:type="dxa"/>
          </w:tcPr>
          <w:p w:rsidR="00DB4822" w:rsidRPr="00DB4822" w:rsidRDefault="00DB4822" w:rsidP="004D7940">
            <w:pPr>
              <w:pStyle w:val="Konzulensek"/>
            </w:pPr>
            <w:r w:rsidRPr="00DB4822">
              <w:t>dr. Attila Döme</w:t>
            </w:r>
          </w:p>
          <w:p w:rsidR="00DB4822" w:rsidRDefault="00DB4822" w:rsidP="00E11062">
            <w:pPr>
              <w:pStyle w:val="Konzulensek"/>
            </w:pPr>
            <w:r w:rsidRPr="00DB4822">
              <w:t>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Change of claim and suit-ceasure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general rule of the change of claim has not changed significantly since January 1, 1953 when the Act II of 1952 on the Civil Procedure Act (the „Civil Procedure Act”) came into force. Since that the purpose of the suit and the ground principles have changed and revaluated but the rules of the change of claim are still reflecting the socialist identity. Thus, the plaintiff has a one-side power over the disposal of the subject of the suit during the first instance procedure and it may cause harm to the interests of the defendant and may cause huge delays of the suit. Consequently the plaintiff’s freedom to the change of claim in course of the first instance procedure and the principles seem to be in insoluble conflict.</w:t>
      </w:r>
    </w:p>
    <w:p>
      <w:pPr>
        <w:widowControl w:val="on"/>
        <w:pBdr/>
        <w:spacing w:before="240" w:after="240" w:line="240" w:lineRule="auto"/>
        <w:ind w:left="0" w:right="0"/>
        <w:jc w:val="left"/>
      </w:pPr>
      <w:r>
        <w:rPr>
          <w:color w:val="000000"/>
          <w:sz w:val="24"/>
          <w:szCs w:val="24"/>
        </w:rPr>
        <w:br/>
        <w:t xml:space="preserve">In my opinion, the legislator has not found its way yet to make consistency between the conversion of the general rules and the present approach of the civil procedure. The possible solutions, like the rules of certain types of suits are apart from the general rules, rootlessly and diffusely levitating in the system of the civil procedure. My opinion is that it also means that the institution of the change of claim needs to be changed fundamentally.</w:t>
      </w:r>
    </w:p>
    <w:p>
      <w:pPr>
        <w:widowControl w:val="on"/>
        <w:pBdr/>
        <w:spacing w:before="240" w:after="240" w:line="240" w:lineRule="auto"/>
        <w:ind w:left="0" w:right="0"/>
        <w:jc w:val="left"/>
      </w:pPr>
      <w:r>
        <w:rPr>
          <w:color w:val="000000"/>
          <w:sz w:val="24"/>
          <w:szCs w:val="24"/>
        </w:rPr>
        <w:br/>
        <w:t xml:space="preserve">The rule of the change of claim which corresponds with the principles, may only be established, if the suit-ceasure (break) with preclusion referred to the change of claim can prevail in course of the procedure. It appears to be conceivable that the system of the change of claim may be transformed radically but consistently in a way corresponding with the spirit of the Civil Procedure Act without the fundamentally transformation of the Civil Procedure Act.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473240">
    <w:multiLevelType w:val="hybridMultilevel"/>
    <w:lvl w:ilvl="0" w:tplc="397547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473240">
    <w:abstractNumId w:val="514732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3685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