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TULLER GÁBOR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Gazdasági társaságok átalakulása és adózása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választ keresek arra kérdésre, hogy mi a gazdasági oka a társaságok átalakulásának folyamatos mennyiségi növekedésének és ezen ügyletek milyen adófizetési kötelezettséggel járnak.</w:t>
      </w:r>
      <w:r>
        <w:rPr>
          <w:color w:val="000000"/>
          <w:sz w:val="24"/>
          <w:szCs w:val="24"/>
        </w:rPr>
        <w:br/>
        <w:t xml:space="preserve">A mai gazdasági helyzetben, amire az alacsony lassú gazdasági növekedés és az alacsony ügyleti kamatok jellemzőek, a társaságok felvásárlásokkal növelik a piaci részesedésüket és az elérhető profitot. Ezen felül a családi vállalkozások életciklusai is sok esetben megkövetelik az átalakulásokat.</w:t>
      </w:r>
      <w:r>
        <w:rPr>
          <w:color w:val="000000"/>
          <w:sz w:val="24"/>
          <w:szCs w:val="24"/>
        </w:rPr>
        <w:br/>
        <w:t xml:space="preserve">Adózás szempontjából fontos hangsúlyozni az adósemlegesség elvét, mely alapján ténylegesen meg nem szerzett jövedelmet nem lehet adóköteles jövedelemként kezelni. Megvizsgáltam, hogy egy átalakulás során a társaságnál hol keletkezik jövedelem és az állam ezt milyen okból adóztatja. A kedvezményezett átalakulás megteremtésével az átalakulás során „keletkezett” jövedelem nem azonnal adóztatható, hanem a társaság számára a jogalkotó adóhalasztást engedélyez, így támogatva a gazdaságilag ésszerű átalakulásokat. A társaság tagjainak adófizetési kötelezettségeire is kitérve azt állapítottam meg, hogy a mai szabályozás serkentheti a nem gazdasági racionalitás vezérelte átalakulásokat, amin ajánlatos változtatni.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32140">
    <w:multiLevelType w:val="hybridMultilevel"/>
    <w:lvl w:ilvl="0" w:tplc="47478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32140">
    <w:abstractNumId w:val="89032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360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