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TULLER</w:t>
            </w:r>
          </w:p>
          <w:p w:rsidR="00C275A3" w:rsidRDefault="00A96AEC" w:rsidP="00C275A3">
            <w:pPr>
              <w:pStyle w:val="Hallgatokepzes"/>
            </w:pPr>
            <w:r>
              <w:t>Law</w:t>
            </w:r>
            <w:r>
              <w:br/>
            </w:r>
            <w:r w:rsidR="00E77B23">
              <w:t>Unified, 9.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Simon</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transformation and taxation of companies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am looking for answers to the following question: what is the economic reason for the constant increase of the transformation of companies and what tax liabilities do these transactions involve?</w:t>
      </w:r>
      <w:r>
        <w:rPr>
          <w:color w:val="000000"/>
          <w:sz w:val="24"/>
          <w:szCs w:val="24"/>
        </w:rPr>
        <w:br/>
        <w:t xml:space="preserve">In today's economic climate, which is characterized by low interest rates and economic growth, companies increase their market share and profit by acquisitions. In addition, in many cases, the life cycles of family businesses require the transformation.</w:t>
      </w:r>
      <w:r>
        <w:rPr>
          <w:color w:val="000000"/>
          <w:sz w:val="24"/>
          <w:szCs w:val="24"/>
        </w:rPr>
        <w:br/>
        <w:t xml:space="preserve">From the viewpoint of taxation it is important to highlight the principle of fiscal neutrality, which implies that not earned income cannot be treated as taxable income. I have examined where income is generated during a transition and for what reason the state levies a tax on the transaction. By creating beneficiary transformation, the “resulting” income is not immediately taxable, but the legislature authorizes tax deferral to the company, thereby supporting the economically rational transformations. Regarding the tax obligations of the company's members, I have found that today's legislation may promote not economically rationality transformations, which is advisable to be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43661">
    <w:multiLevelType w:val="hybridMultilevel"/>
    <w:lvl w:ilvl="0" w:tplc="751969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43661">
    <w:abstractNumId w:val="430436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00026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