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BOKROS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Lattmann</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fusion of territories of the European Union’s foreign policy. The examination of the external capabilities of the European Union and the possibility of the future “common foreign policy”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Foreign policy is an ability of a state or an entity to influence another state’s of entity’s action according to its own interest. The European Union itself also obtains such ability, but the efficiency of its usage stands way behind that of the states, the traditional subjects of international relations.</w:t>
      </w:r>
      <w:r>
        <w:rPr>
          <w:color w:val="000000"/>
          <w:sz w:val="24"/>
          <w:szCs w:val="24"/>
        </w:rPr>
        <w:br/>
        <w:t xml:space="preserve">The goal of my essay is to get a closer view on the territories of the Union’s foreign policy, the visualisation of the distribution that creates two major territories in foreign policy: the “community foreign policy”, which is the external scope of the policies incorporated within the first pillar (e.g. external trade); and the “common foreign and security policy” established as the second pillar by the Treaty of Maastricht. A distribution of low and high politics is likely to undermine the coherency and effectiveness of the external system. Legally the distribution has been demolished thanks to the Treaty of Lisbon, but the CFSP remained a separate regime. The Treaty of Lisbon also created the possibility of progress, through the creation of the European External Action Service (and the High Representative).</w:t>
      </w:r>
      <w:r>
        <w:rPr>
          <w:color w:val="000000"/>
          <w:sz w:val="24"/>
          <w:szCs w:val="24"/>
        </w:rPr>
        <w:br/>
        <w:t xml:space="preserve">As part of my essay the comparative analysis of the territories of the present external system is also made, as a beforehand of the presentation of causes of ineffectiveness; the disposition of future alternative solutions for the problem also forms an individual part within my essay. Emphasize is put on the role and functioning of the External Action Service, which can be the future leader of the fusion of territories of foreign policy. This is the only institution (besides the European Council) which has the power to oversee the whole external system, and can proactively foster the elimination of difficulties and the advancement of the “Schuman plan”, the establishment of the united Europe, that speaks with one voice through its “common foreign policy”.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31013">
    <w:multiLevelType w:val="hybridMultilevel"/>
    <w:lvl w:ilvl="0" w:tplc="31801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31013">
    <w:abstractNumId w:val="166310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531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