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ANITA GYÖRFI</w:t>
            </w:r>
          </w:p>
          <w:p w:rsidR="00C275A3" w:rsidRDefault="00A96AEC" w:rsidP="00C275A3">
            <w:pPr>
              <w:pStyle w:val="Hallgatokepzes"/>
            </w:pPr>
            <w:r>
              <w:t>law</w:t>
            </w:r>
            <w:r>
              <w:br/>
            </w:r>
            <w:r w:rsidR="00E77B23">
              <w:t>Unified, 10. semester</w:t>
            </w:r>
          </w:p>
          <w:p w:rsidR="00C265CE" w:rsidRPr="009E5FF1" w:rsidRDefault="00E77B23" w:rsidP="00C275A3">
            <w:pPr>
              <w:pStyle w:val="Hallgatokepzes"/>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Kajtár</w:t>
            </w:r>
          </w:p>
          <w:p w:rsidR="00DB4822" w:rsidRDefault="00DB4822" w:rsidP="00E11062">
            <w:pPr>
              <w:pStyle w:val="Konzulensek"/>
            </w:pPr>
            <w:r w:rsidRPr="00DB4822">
              <w:t>adjunct,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Excessive pricing as abuse of dominance in the EU and Hungarian case law</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goal of this paper is to overview the matters of excessive pricing considered by the competition policy literature and the European case law, to determine the possible instruments of intervention and to examine the Hungarian case law. The paper focuses on the pros and cons of intervention against excessive pricing and aims to find proper screening criteria for the case of intervention. Then it examines how practical difficulties and screening criteria are working in Hungarian cases. Finally, it concludes that the Hungarian case law follows the recommendations of the literature and the European case law, but there are cases where the high prices could be regulated instead of initiation of a competition supervision procedure.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806640">
    <w:multiLevelType w:val="hybridMultilevel"/>
    <w:lvl w:ilvl="0" w:tplc="985450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806640">
    <w:abstractNumId w:val="238066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45388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