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KEMPLER KÁROLY</w:t>
            </w:r>
          </w:p>
          <w:p w:rsidR="00C275A3" w:rsidRDefault="00A96AEC" w:rsidP="00C275A3">
            <w:pPr>
              <w:pStyle w:val="Hallgatokepzes"/>
            </w:pPr>
            <w:r>
              <w:t>jogász</w:t>
            </w:r>
            <w:r>
              <w:br/>
            </w:r>
            <w:r w:rsidR="00E77B23">
              <w:t>Osztatlan, 7. félév</w:t>
            </w:r>
          </w:p>
          <w:p w:rsidR="00C265CE" w:rsidRPr="009E5FF1" w:rsidRDefault="00E77B23" w:rsidP="00C275A3">
            <w:pPr>
              <w:pStyle w:val="Hallgatokepzes"/>
              <w:rPr>
                <w:b/>
                <w:caps/>
              </w:rPr>
            </w:pPr>
            <w:r>
              <w:t>Eötvös Loránd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Molnár Tamás</w:t>
            </w:r>
          </w:p>
          <w:p w:rsidR="00DB4822" w:rsidRDefault="00DB4822" w:rsidP="00E11062">
            <w:pPr>
              <w:pStyle w:val="Konzulensek"/>
            </w:pPr>
            <w:r w:rsidRPr="00DB4822">
              <w:t>adjunktus,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védelmi felelősség története és elmélete a nemzetközi jog szemszögéből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tanulmány a védelmi felelősség történeti előzményeinek felvázolását követően a koncepció nemzetközi jogi beágyazottságát vizsgálja Ban Ki-moon pilléres felosztását alapul véve, majd a líbiai beavatkozást és annak hatásait veszi górcső alá a szokásjog szemszögéből.</w:t>
      </w:r>
    </w:p>
    <w:p>
      <w:pPr>
        <w:widowControl w:val="on"/>
        <w:pBdr/>
        <w:spacing w:before="240" w:after="240" w:line="240" w:lineRule="auto"/>
        <w:ind w:left="0" w:right="0"/>
        <w:jc w:val="left"/>
      </w:pPr>
      <w:r>
        <w:rPr>
          <w:color w:val="000000"/>
          <w:sz w:val="24"/>
          <w:szCs w:val="24"/>
        </w:rPr>
        <w:t xml:space="preserve">Az első pillér (a honos állam felelőssége) valóban meglévő nemzetközi jogi kötelezettséget takar, ha alatta a bűncselekményektől való tartózkodást értjük, tekintettel e bűncselekmények tilalmának normatív jellegére. Nem ilyen egyértelmű a honos állam megelőzési kötelezettségének normatív tartalma, hiszen e kötelezettség kizárólag a Népirtásról szóló egyezményben lelhető fel. A második pillér (a nemzetközi közösség megelőzési felelőssége) normatív tartalma az első pillérben található megelőzés kötelezettségére épül, ezért a népirtáson kívül a többi bűncselekmény esetében erősen vitatható e kötelezettség. Alátámasztani látszik ugyanakkor e felelősséget az Államfelelősségi Tervezet 41. cikke és az NB Bosznia v. Szerbia ügyben hozott ítélete. A harmadik pillér (a nemzetközi közösség beavatkozási kötelezettsége) semmilyen normatív tartalommal nem bír, hiszen elismerésétől az államok döntő többsége elzárkózott. </w:t>
      </w:r>
    </w:p>
    <w:p>
      <w:pPr>
        <w:widowControl w:val="on"/>
        <w:pBdr/>
        <w:spacing w:before="240" w:after="240" w:line="240" w:lineRule="auto"/>
        <w:ind w:left="0" w:right="0"/>
        <w:jc w:val="left"/>
      </w:pPr>
      <w:r>
        <w:rPr>
          <w:color w:val="000000"/>
          <w:sz w:val="24"/>
          <w:szCs w:val="24"/>
        </w:rPr>
        <w:t xml:space="preserve">A líbiai konfliktus során a BT határozatokban a civilek védelmét tűzték ki célul, mely koncepcionális eltérést mutat a szinte teljes egészében figyelmen kívül hagyott védelmi felelősségtől. Az egységes opinio iuris továbbá az önös stratégiai érdekek hangsúlyozása miatt sem merülhet fel. Habár a líbiai beavatkozást elrendelő határozathoz kritikusan hozzáálló tagállamok nem akadályozták meg annak elfogadását, az intervenciót követően számos ország elítélte a NATO civilek védelmén túlmenő hadműveleteit, így az egységes állami gyakorlat is hiányzik. Továbbá kizárt, hogy módosíthatja az évszázados szuverenitást és az abból következő beavatkozás tilalmát egy olyan „szokásjogi norma”, amely az ENSZ Alapokmányának 42. cikkén túlterjeszkedő intervención alapul. </w:t>
      </w:r>
    </w:p>
    <w:p>
      <w:pPr>
        <w:widowControl w:val="on"/>
        <w:pBdr/>
        <w:spacing w:before="240" w:after="240" w:line="240" w:lineRule="auto"/>
        <w:ind w:left="0" w:right="0"/>
        <w:jc w:val="left"/>
      </w:pPr>
      <w:r>
        <w:rPr>
          <w:color w:val="000000"/>
          <w:sz w:val="24"/>
          <w:szCs w:val="24"/>
        </w:rPr>
        <w:t xml:space="preserve">A „líbiai modell” tehát egy olyan rossz emléket hagyott maga után, amely inkább passzivitásra, mintsem aktív közreműködésre készteti az államokat, ahogy láthattuk a szíriai konfliktusnál, és ahogy feltehetően más jövőbeli humanitárius katasztrófák esetén is megtörténhet. A védelmi felelősség így azon túl, hogy nem tarthat igényt normatív tartalomra, a nemzetközi közösséget aktivizáló szerepe is komoly veszélybe került, megkérdőjelezve ezzel tényleges politikai irányelv státuszát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590986">
    <w:multiLevelType w:val="hybridMultilevel"/>
    <w:lvl w:ilvl="0" w:tplc="626123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590986">
    <w:abstractNumId w:val="625909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67558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