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KAROLY KEMPLER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Tamas Molnar</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and the concept of the responsibility to protect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introduction of the historical background of the responsibility to protect (r2p) this essay aims to present the principle’s relationship with the international law following the pillar structure of Ban Ki-Moon. Then through the lens of the customary international law the author examines the intervention in Libya and its effects.</w:t>
      </w:r>
    </w:p>
    <w:p>
      <w:pPr>
        <w:widowControl w:val="on"/>
        <w:pBdr/>
        <w:spacing w:before="240" w:after="240" w:line="240" w:lineRule="auto"/>
        <w:ind w:left="0" w:right="0"/>
        <w:jc w:val="left"/>
      </w:pPr>
      <w:r>
        <w:rPr>
          <w:color w:val="000000"/>
          <w:sz w:val="24"/>
          <w:szCs w:val="24"/>
        </w:rPr>
        <w:t xml:space="preserve">The first pillar (the responsibility of the host state) indeed contains already existing international obligations, if we mean the abstention from these crimes, in consideration of the ius cogens status of the prohibition of these crimes. However not so much obvious the obligation of the host state to prevent these crimes, since this obligation is only included in the Genocide Convention. The normative content of the second pillar rests upon the obligation of prevention in the first pillar, therefore except the crime of genocide this obligation is highly questionable. Nevertheless, the Article 41. of the Draft Articles on State Responsibility and the ICJ’s judgement in the Bosnia v. Serbia case supports this responsibility. The third pillar (the responsibility of the international community to react) doesn’t have any sort of normative content, since the majority of states rejected even the notion of such obligation.</w:t>
      </w:r>
    </w:p>
    <w:p>
      <w:pPr>
        <w:widowControl w:val="on"/>
        <w:pBdr/>
        <w:spacing w:before="240" w:after="240" w:line="240" w:lineRule="auto"/>
        <w:ind w:left="0" w:right="0"/>
        <w:jc w:val="left"/>
      </w:pPr>
      <w:r>
        <w:rPr>
          <w:color w:val="000000"/>
          <w:sz w:val="24"/>
          <w:szCs w:val="24"/>
        </w:rPr>
        <w:t xml:space="preserve">In the course of the Libyan conflict the SC resolutions aimed to protect the civilians, which is a conceptually different from the totally rejected notion of the r2p. Also because of the emphasizing of the selfish strategic interest the unified opinio iuris could not be deduced. Although those states which where critical towards the resolution which prescribed the intervention, did not prevent it from entering into force, after the intervention many states condemned the NATO’s actions which aims was not directly linked with the protection of civilians therefore the unified practise of states is also missing. Furthermore it is impossible that such a “customary international norm” which is based on the illegitimate execution of the 42. Article of the UN Charter could override centuries old norm of sovereignty.</w:t>
      </w:r>
    </w:p>
    <w:p>
      <w:pPr>
        <w:widowControl w:val="on"/>
        <w:pBdr/>
        <w:spacing w:before="240" w:after="240" w:line="240" w:lineRule="auto"/>
        <w:ind w:left="0" w:right="0"/>
        <w:jc w:val="left"/>
      </w:pPr>
      <w:r>
        <w:rPr>
          <w:color w:val="000000"/>
          <w:sz w:val="24"/>
          <w:szCs w:val="24"/>
        </w:rPr>
        <w:t xml:space="preserve">Thus the Libyan Model left behind such a bad memory, which encourages the states to behave passively rather than to show activity, as we have witnessed at the Syrian conflict and probably at other humanitarian catastrophes. Beyond the fact that the r2p cannot emerge as an international customary law, the nature to show activity has been compromised questioning its status of political principle.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1075">
    <w:multiLevelType w:val="hybridMultilevel"/>
    <w:lvl w:ilvl="0" w:tplc="82040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1075">
    <w:abstractNumId w:val="78901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796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