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LÁSZLÓ NÉMETH</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Erdős</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Iustitia peeks from the eyepatch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the thesis is to present the main rules, guidelines and ICSID case law concerning the independence and impartiality of the arbitrators and to propose solutions in that regard.</w:t>
      </w:r>
    </w:p>
    <w:p>
      <w:pPr>
        <w:widowControl w:val="on"/>
        <w:pBdr/>
        <w:spacing w:before="240" w:after="240" w:line="240" w:lineRule="auto"/>
        <w:ind w:left="0" w:right="0"/>
        <w:jc w:val="left"/>
      </w:pPr>
      <w:r>
        <w:rPr>
          <w:color w:val="000000"/>
          <w:sz w:val="24"/>
          <w:szCs w:val="24"/>
        </w:rPr>
        <w:br/>
        <w:t xml:space="preserve">In the course of the research I put special emphasis on the analysis the respective rules, guidelines and the ICSID case law. I have turned mainly to foreign sources during the preparation of the thesis, since the number of Hungarian sources are quite low.</w:t>
      </w:r>
    </w:p>
    <w:p>
      <w:pPr>
        <w:widowControl w:val="on"/>
        <w:pBdr/>
        <w:spacing w:before="240" w:after="240" w:line="240" w:lineRule="auto"/>
        <w:ind w:left="0" w:right="0"/>
        <w:jc w:val="left"/>
      </w:pPr>
      <w:r>
        <w:rPr>
          <w:color w:val="000000"/>
          <w:sz w:val="24"/>
          <w:szCs w:val="24"/>
        </w:rPr>
        <w:br/>
        <w:t xml:space="preserve">The partiality of the arbitrator arises from a peculiar conflict of interests, namely that the arbitrators need to fulfill two roles: on one hand, they need to adjudicate independently and in an impartial way, on the other hand, they are economically interested in the number of cases in which they are appointed. This issue brings about special turmoil in the field of investment arbitration because i) the number of experts acting in this field is relatively low; and ii) private persons are vested with rights to decide upon public fund and the limits of the states’ legislative power. It causes additional problems, that these proceedings are mainly initiated by investors. Therefore, one could assume that the arbitrators – due to their economical interest in the number of cases – tend to decide in the favor of the investors so as to encourage the investors to initiate further proceedings. Nevertheless, statistics seems not to support that view since the arbitral tribunals fails to establish its jurisdiction in 25 % of the cases and denies the claims of the investors in another 25 % of the cases, which means that in half of the cases, the arbitral tribunals resolve in favor of the respondents. Therefore, it cannot be stated definitely, that the arbitrators decide in favor of the investors just because the proceedings are mainly initiated by them.</w:t>
      </w:r>
    </w:p>
    <w:p>
      <w:pPr>
        <w:widowControl w:val="on"/>
        <w:pBdr/>
        <w:spacing w:before="240" w:after="240" w:line="240" w:lineRule="auto"/>
        <w:ind w:left="0" w:right="0"/>
        <w:jc w:val="left"/>
      </w:pPr>
      <w:r>
        <w:rPr>
          <w:color w:val="000000"/>
          <w:sz w:val="24"/>
          <w:szCs w:val="24"/>
        </w:rPr>
        <w:br/>
        <w:t xml:space="preserve">A possible solution may be in order to ensure the independence and impartiality that the arbitrator should decide whether it wishes to be either a legal representative or an arbitrator. Furthermore, I came to the conclusion that the appointment of the arbitrators could take place anonymously, hence, the arbitrators would not be aware of the identity of the appointing party. Alternatively, the arbitrators could be appointed by an independent appointing authority – in accordance with special rules on appointment – hence ensuring the independence.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67940">
    <w:multiLevelType w:val="hybridMultilevel"/>
    <w:lvl w:ilvl="0" w:tplc="77472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67940">
    <w:abstractNumId w:val="40067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777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