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MÁRK</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Dr.Benke József</w:t>
            </w:r>
          </w:p>
          <w:p w:rsidR="00DB4822" w:rsidRDefault="00DB4822" w:rsidP="00E11062">
            <w:pPr>
              <w:pStyle w:val="Konzulensek"/>
            </w:pPr>
            <w:r w:rsidRPr="00DB4822">
              <w:t>adjunktus, PTE ÁJK</w:t>
            </w:r>
          </w:p>
        </w:tc>
      </w:tr>
      <w:tr w:rsidR="00DB4822" w:rsidTr="00DB4822">
        <w:tc>
          <w:tcPr>
            <w:tcW w:w="9854" w:type="dxa"/>
          </w:tcPr>
          <w:p w:rsidR="00DB4822" w:rsidRPr="00DB4822" w:rsidRDefault="00DB4822" w:rsidP="004D7940">
            <w:pPr>
              <w:pStyle w:val="Konzulensek"/>
            </w:pPr>
            <w:r w:rsidRPr="00DB4822">
              <w:t>Dr.Kecskés László</w:t>
            </w:r>
          </w:p>
          <w:p w:rsidR="00DB4822" w:rsidRDefault="00DB4822" w:rsidP="00E11062">
            <w:pPr>
              <w:pStyle w:val="Konzulensek"/>
            </w:pPr>
            <w:r w:rsidRPr="00DB4822">
              <w:t>egyetemi tanár,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zálogjog bírósági végrehajtáson kívüli érvényesítésének szabályai az új Ptk.-ban és a szabályozás prognosztizálható hatásai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zálogjog bírósági végrehajtáson kívüli érvényesítése során – még a zálogjogon belül is – kiemelten fontos a zálogkötelezett és a zálogjogosult, a hitelezők és az adósok érdekeinek egyensúlyban tartása. Ezeknek az érdekeknek az érvényesülésére a Ptk. igyekszik ügyelni, ám több esetben arra jutottam, hogy nem mindig teljesen következetesen. Ezek a legkisebb következetlenségek pedig magukkal vonhatják bizonyos gazdasági társadalmi és uniós jogi problémák megjelenését. Ezen problémák esetleges jövőbeni felmerülésének előrejelzését, illetve azokra megoldási javaslat megfogalmazását tartom a dolgozatom egyik legfontosabb eredményének. Ezeket az eredményeket pedig más jogrendszerek hasonló jogintézményeinek vizsgálatával, továbbá a hazai és a külföldi bíróságok, (Ausztria, Egyesült Államok) valamint az Európai Bíróság gyakorlatának áttekintésével sikerült elérnem. Az előbbi esetben kizárólag a külföldi szakirodalomra támaszkodtam, az utóbbi esetben pedig az idegen nyelvű bírói gyakorlat azon részének bemutatását tűztem ki célul, amely az adott témával szorosan összefügg. Igyekeztem továbbá zálogjog történeti fejlődése során szerzett tanulságokból a jövőre nézve következtetéseket levonni. Mindent egybevetve munkámat talán a legjobban jellemzi a dolgozatom szentenciájaként is felfogható idézet, amelyet a Ptk. miniszteri indoklása tartalmaz: „A Javaslat főtörekvése, hogy a zálogjog oly módon segítse a hitelfelvételt, hogy hatékony biztosítékot nyújt a hitelező számára,ugyanakkor megfelelő védelemben részesíti a zálogkötelezett tulajdonosi érdekeit.”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62990">
    <w:multiLevelType w:val="hybridMultilevel"/>
    <w:lvl w:ilvl="0" w:tplc="60929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62990">
    <w:abstractNumId w:val="19262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440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