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MOLNÁR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Benke Dr.</w:t>
            </w:r>
          </w:p>
          <w:p w:rsidR="00DB4822" w:rsidRDefault="00DB4822" w:rsidP="00E11062">
            <w:pPr>
              <w:pStyle w:val="Konzulensek"/>
            </w:pPr>
            <w:r w:rsidRPr="00DB4822">
              <w:t>assistant professor, PTE ÁJK</w:t>
            </w:r>
          </w:p>
        </w:tc>
      </w:tr>
      <w:tr w:rsidR="00DB4822" w:rsidTr="00DB4822">
        <w:tc>
          <w:tcPr>
            <w:tcW w:w="9854" w:type="dxa"/>
          </w:tcPr>
          <w:p w:rsidR="00DB4822" w:rsidRPr="00DB4822" w:rsidRDefault="00DB4822" w:rsidP="004D7940">
            <w:pPr>
              <w:pStyle w:val="Konzulensek"/>
            </w:pPr>
            <w:r w:rsidRPr="00DB4822">
              <w:t>László Kecskés Dr.</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provisions of the new Civil Code on the enforcement of liens by ways other than by judicial enforcement and the predictable effects of this regulation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balancing of the interests of the creditors and the debtors, is of particular importance in the course of out-of-court mortgage enforcement proceedings, even within the frame of the regulation of mortgages. The Hungarian Civil Code intends giving priority to these interests, but in some cases I have come to the conclusion, that the regulation is not always entirely consistent. These little inconsistencies can trigger economic, social and European Union law problems. In my opinion one of the most important achievements of my work are the forecast of these problems and the proposals to solve them. I have reached these achievements as the result of examining similar legal instruments of other jurisdictions, furthermore with analyzing of the judicial practice of inland and foreign courts (Austria, United States), as well as of the European Court of Justice. In the first case, I based my work only on foreign literature, in the latter case I have aimed at outlining introduce the relevant practice of courts. In addition, I have drawn conclusions for the future, from the observations obtained in the course of analyzing historical development of the legal instrument of mortgage. All in all, probably a quotation from the ministerial justification of The Hungarian Civil Code summarizes the content of my work the best: “The main attempt of the Proposal is to help the lending in such way that it provides sufficient collateral for the creditor and offers adequate protection for the property interests of the debtor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64028">
    <w:multiLevelType w:val="hybridMultilevel"/>
    <w:lvl w:ilvl="0" w:tplc="98212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64028">
    <w:abstractNumId w:val="60064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571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