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OSZLÁNCZI MERCÉDESZ</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Dr.Benke József</w:t>
            </w:r>
          </w:p>
          <w:p w:rsidR="00DB4822" w:rsidRDefault="00DB4822" w:rsidP="00E11062">
            <w:pPr>
              <w:pStyle w:val="Konzulensek"/>
            </w:pPr>
            <w:r w:rsidRPr="00DB4822">
              <w:t>adjunktus, PTE ÁJK</w:t>
            </w:r>
          </w:p>
        </w:tc>
      </w:tr>
      <w:tr w:rsidR="00DB4822" w:rsidTr="00DB4822">
        <w:tc>
          <w:tcPr>
            <w:tcW w:w="9854" w:type="dxa"/>
          </w:tcPr>
          <w:p w:rsidR="00DB4822" w:rsidRPr="00DB4822" w:rsidRDefault="00DB4822" w:rsidP="004D7940">
            <w:pPr>
              <w:pStyle w:val="Konzulensek"/>
            </w:pPr>
            <w:r w:rsidRPr="00DB4822">
              <w:t>Dr.Kecskés László</w:t>
            </w:r>
          </w:p>
          <w:p w:rsidR="00DB4822" w:rsidRDefault="00DB4822" w:rsidP="00E11062">
            <w:pPr>
              <w:pStyle w:val="Konzulensek"/>
            </w:pPr>
            <w:r w:rsidRPr="00DB4822">
              <w:t>egyetemi tanár,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alimentációs szerződések aleatórius jellegének változása Történeti és összehasonlító jogi vizsgálatok az új Ptk. Perspektívájából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alimentációs szerződések a XX. század elején a szegényebb néposztályok körében nyertek teret, azonban a szocialista korszakban - az uralkodó politikai ideológiának köszönhetően - az ingyenélés egyik formájaként jellemezték a gyors vagyonszerzésre irányuló jogviszonyokat.</w:t>
      </w:r>
      <w:r>
        <w:rPr>
          <w:color w:val="000000"/>
          <w:sz w:val="24"/>
          <w:szCs w:val="24"/>
        </w:rPr>
        <w:br/>
        <w:t xml:space="preserve">A külföldi jogrendszerben - a régi magyar joghoz hasonlóan - az életjáradéki szerződések kerültek előtérbe, melynek oka, hogy a törvényes tartás intézménye miatt a szerződéses háttérbe szorult.</w:t>
      </w:r>
      <w:r>
        <w:rPr>
          <w:color w:val="000000"/>
          <w:sz w:val="24"/>
          <w:szCs w:val="24"/>
        </w:rPr>
        <w:br/>
        <w:t xml:space="preserve">Az alimentációs szerződések kockázata - többek között - az ellenszolgáltatás értékéhez viszonyított tartással, vagy határozott időtartam kikötése révén, az írásbeliség megkövetelésével, valamint - ingatlan esetében - elsősorban megfelelő biztosíték adásával csökkenthető. Még nagyobb a kockázat a többalanyú tartási kötelmek esetében, mely az egyetemlegesség, együttesség szabályának alkalmazásával, valamint az osztható, illetve oszthatatlan szolgáltatások követelésével mérséklődik. Kockázatnövelő tényező továbbá a felek korai halála, főleg akkor, ha az eltartónak nincsenek örökösei, azonban az eltartott az örökhagyó tartozásaiért való felelősség alapján még igényelhetne tartást. Ez esetben az állam, mint szükségképpeni örökös köteles helytállni.</w:t>
      </w:r>
      <w:r>
        <w:rPr>
          <w:color w:val="000000"/>
          <w:sz w:val="24"/>
          <w:szCs w:val="24"/>
        </w:rPr>
        <w:br/>
        <w:t xml:space="preserve">Az alimentációs szerződések érvénytelenségi okai közül több az ügyleti kockázatossággal áll összefüggésben. Így a felek hivatkozhatnak jóerkölcsbe ütközésre, színlelt szerződésre vagy uzsorára, önmagában feltűnő értékaránytalanságra azonban nem. A bírói gyakorlatban számos törekvés kimutatható a tartási szerződés kockázatosságának megfelelő keretek között tartására, pl. orvos-beteg szerződése, gyógyíthatatlan beteggel, közeli hozzátartozóval kötött szerződés esetén, utóbbi esetben különös figyelemmel a törvényi és szerződéses tartási jogok kollíziójára. Ebben az esetben az elsődlegesség kérdése problematikus, illetve a jövőben az nyugdíjrendszer esetleges összeomlása miatt szükségesnek látszik a gondozási, illetve az otthonházban nyújtott tartási szerződés külön szabályozása.</w:t>
      </w:r>
      <w:r>
        <w:rPr>
          <w:color w:val="000000"/>
          <w:sz w:val="24"/>
          <w:szCs w:val="24"/>
        </w:rPr>
        <w:br/>
        <w:t xml:space="preserve">A legnagyobb kockázat véleményem szerint mégis az eltartott oldalán van jelen, hiszen a vagyoniak mellett személyes kockázatokat is visel, különösen akkor, ha a tartási szerződést meg kell szüntetni. Az új Ptk. nem vette át a szerződés megszüntetésénél a felek megfelelő kielégítéséről való rendelkezést, ez azonban nem jelenti a megfelelő elszámolás mellőzhetőségét.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26303">
    <w:multiLevelType w:val="hybridMultilevel"/>
    <w:lvl w:ilvl="0" w:tplc="88939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26303">
    <w:abstractNumId w:val="21926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279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