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MERCÉDESZ OSZLÁNCZI</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Benke Dr.</w:t>
            </w:r>
          </w:p>
          <w:p w:rsidR="00DB4822" w:rsidRDefault="00DB4822" w:rsidP="00E11062">
            <w:pPr>
              <w:pStyle w:val="Konzulensek"/>
            </w:pPr>
            <w:r w:rsidRPr="00DB4822">
              <w:t>assistant professor, PTE ÁJK</w:t>
            </w:r>
          </w:p>
        </w:tc>
      </w:tr>
      <w:tr w:rsidR="00DB4822" w:rsidTr="00DB4822">
        <w:tc>
          <w:tcPr>
            <w:tcW w:w="9854" w:type="dxa"/>
          </w:tcPr>
          <w:p w:rsidR="00DB4822" w:rsidRPr="00DB4822" w:rsidRDefault="00DB4822" w:rsidP="004D7940">
            <w:pPr>
              <w:pStyle w:val="Konzulensek"/>
            </w:pPr>
            <w:r w:rsidRPr="00DB4822">
              <w:t>László Kecskés Dr.</w:t>
            </w:r>
          </w:p>
          <w:p w:rsidR="00DB4822" w:rsidRDefault="00DB4822" w:rsidP="00E11062">
            <w:pPr>
              <w:pStyle w:val="Konzulensek"/>
            </w:pPr>
            <w:r w:rsidRPr="00DB4822">
              <w:t>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alteration of the risky aspects of alimentation contracts Historical and comparative legal research from the perspective of the new Civil Code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spread of alimentation contracts commenced among the poorer people at the beginning of the 20th century, however in the socialism - due to the prevailing political ideology - legal relations aiming at quick way of money-making were considered as one of the forms of sorning.</w:t>
      </w:r>
      <w:r>
        <w:rPr>
          <w:color w:val="000000"/>
          <w:sz w:val="24"/>
          <w:szCs w:val="24"/>
        </w:rPr>
        <w:br/>
        <w:t xml:space="preserve">In foreign legal systems - similar to the old Hungarian one - the contracts of life- annuity came into view. The reason is, that because of the instituion of statutory support the contractual relations were pushed into the background.</w:t>
      </w:r>
      <w:r>
        <w:rPr>
          <w:color w:val="000000"/>
          <w:sz w:val="24"/>
          <w:szCs w:val="24"/>
        </w:rPr>
        <w:br/>
        <w:t xml:space="preserve">The aleatory aspect of alimentation contracts can be decreased - among others - establishing a close correlation between the value of the consideration and support, stipulating definite period for the duration of the contract, requiring of literacy written contract and - in the case of real estate - giving an adequate security. The risk is even bigger when the contract is signed by several persons, which can also be reduced by applying the rules of joint and several and also collective liability as well as requiring the divisible and non-divisible services. The early death of the parties also increases the risk, especially when the supporter does not have any inheritor but the dependent could still require support. In this case the state, as the ”necessary inheritor” is obligated to perform.</w:t>
      </w:r>
      <w:r>
        <w:rPr>
          <w:color w:val="000000"/>
          <w:sz w:val="24"/>
          <w:szCs w:val="24"/>
        </w:rPr>
        <w:br/>
        <w:t xml:space="preserve">The grounds for invalidity are in correlation with the transaction risk. Thus, the parties can refer to opposition to good morals, disguised contract or usury, but not to gain gross disproportionality of considerations. Judicial practice endeavours to reduce the risks of alimentation contracts, for example, in the case of contracts between a doctor and a patient, a terminally ill person, a close relative, in the latter case with special regard to the collision of statutory and contractual rights to support. In this case the issue of priority is questionable. Moreover, in the future, because of the possible collapse of the pension system the precise regulation of a caring contract and a support contract in retirement homes seems neccessary.</w:t>
      </w:r>
      <w:r>
        <w:rPr>
          <w:color w:val="000000"/>
          <w:sz w:val="24"/>
          <w:szCs w:val="24"/>
        </w:rPr>
        <w:br/>
        <w:t xml:space="preserve">In my opinion, the dependent bears the bigger risk, from the aspect of both personal and financial conditions, especially when the support contract must be terminated. The new Civil Code does not include the rule of due satisfaction, which does not mean that the clearing between the parties can be ignored.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37113">
    <w:multiLevelType w:val="hybridMultilevel"/>
    <w:lvl w:ilvl="0" w:tplc="37265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37113">
    <w:abstractNumId w:val="358371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17929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