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EMIL PÁL MÉSZÁROS</w:t>
            </w:r>
          </w:p>
          <w:p w:rsidR="00C275A3" w:rsidRDefault="00A96AEC" w:rsidP="00C275A3">
            <w:pPr>
              <w:pStyle w:val="Hallgatokepzes"/>
            </w:pPr>
            <w:r>
              <w:t>law</w:t>
            </w:r>
            <w:r>
              <w:br/>
            </w:r>
            <w:r w:rsidR="00E77B23">
              <w:t>Unified, 9. semester</w:t>
            </w:r>
          </w:p>
          <w:p w:rsidR="00C265CE" w:rsidRPr="009E5FF1" w:rsidRDefault="00E77B23" w:rsidP="009763E0">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Bércesi Dr.</w:t>
            </w:r>
          </w:p>
          <w:p w:rsidR="00DB4822" w:rsidRDefault="00DB4822" w:rsidP="009763E0">
            <w:pPr>
              <w:pStyle w:val="Konzulensektitulus"/>
            </w:pPr>
            <w:r w:rsidRPr="00DB4822">
              <w:t>associate professor,  Chief Prosecutor's Office Apellate Body of Pécs</w:t>
            </w:r>
          </w:p>
        </w:tc>
      </w:tr>
      <w:tr w:rsidR="00DB4822" w:rsidTr="00DB4822">
        <w:tc>
          <w:tcPr>
            <w:tcW w:w="9854" w:type="dxa"/>
          </w:tcPr>
          <w:p w:rsidR="00DB4822" w:rsidRPr="00DB4822" w:rsidRDefault="00DB4822" w:rsidP="009763E0">
            <w:pPr>
              <w:pStyle w:val="Konzulenseknev"/>
            </w:pPr>
            <w:r w:rsidRPr="00DB4822">
              <w:t>László Kecskés Dr.</w:t>
            </w:r>
          </w:p>
          <w:p w:rsidR="00DB4822" w:rsidRDefault="00DB4822" w:rsidP="009763E0">
            <w:pPr>
              <w:pStyle w:val="Konzulensektitulus"/>
            </w:pPr>
            <w:r w:rsidRPr="00DB4822">
              <w:t>professor, PTE ÁJK</w:t>
            </w:r>
          </w:p>
        </w:tc>
      </w:tr>
      <w:tr w:rsidR="00DB4822" w:rsidTr="00DB4822">
        <w:tc>
          <w:tcPr>
            <w:tcW w:w="9854" w:type="dxa"/>
          </w:tcPr>
          <w:p w:rsidR="00DB4822" w:rsidRPr="00DB4822" w:rsidRDefault="00DB4822" w:rsidP="009763E0">
            <w:pPr>
              <w:pStyle w:val="Konzulenseknev"/>
            </w:pPr>
            <w:r w:rsidRPr="00DB4822">
              <w:t>Tibor Nochta Dr.</w:t>
            </w:r>
          </w:p>
          <w:p w:rsidR="00DB4822" w:rsidRDefault="00DB4822" w:rsidP="009763E0">
            <w:pPr>
              <w:pStyle w:val="Konzulensektitulus"/>
            </w:pPr>
            <w:r w:rsidRPr="00DB4822">
              <w:t>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 hungarian land law and its legal institutions ("the country that ruins its land ruits itself")</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am striving to present the land as the essential relevance of the economic and proprietary unit, furthermore the history of the agricultural law and business law, the legal istitution of the land registration law and property acquisition. It is important that the reader has knowledge how the hungarian agriculture fell behind compared to the western agriculture so this way one can understand the purpose and the motive of the new legislation. Foreign legal institutions came into effect that caused several legal debates and disruption. The property acquisition of land properties is a special porperty acquisition based on the Civil Code and on the Law of CXXII. 2013. that contains special provisions and which limits the liberty of the property acquisition. We have to give effect of the new legal institutions and definitions such as peasant, administration proceedings and the proceeding of the authorities, the compulsory provisions. Those will be helpful for the practice and the administration will be more efficient as well.</w:t>
      </w:r>
    </w:p>
    <w:p>
      <w:pPr>
        <w:widowControl w:val="on"/>
        <w:pBdr/>
        <w:spacing w:before="240" w:after="240" w:line="240" w:lineRule="auto"/>
        <w:ind w:left="0" w:right="0"/>
        <w:jc w:val="left"/>
      </w:pPr>
      <w:r>
        <w:rPr>
          <w:color w:val="000000"/>
          <w:sz w:val="24"/>
          <w:szCs w:val="24"/>
        </w:rPr>
        <w:t xml:space="preserve">The mingle of the civil law and the public law is highly important and it is unequivocal that we do not need to split them into two parts. In this case the agricultural law and the Civil Code has the main relevance but in the lawyers practice unquestionably the civil law. In conclusion I need to point it out that in the last year there were several problems during the practice beacause of the flaws and defects of the regulations and the inadequate proceedings which need to be retrieved by the legislation.</w:t>
      </w:r>
    </w:p>
    <w:p>
      <w:pPr>
        <w:widowControl w:val="on"/>
        <w:pBdr/>
        <w:spacing w:before="240" w:after="240" w:line="240" w:lineRule="auto"/>
        <w:ind w:left="0" w:right="0"/>
        <w:jc w:val="left"/>
      </w:pPr>
      <w:r>
        <w:rPr>
          <w:color w:val="000000"/>
          <w:sz w:val="24"/>
          <w:szCs w:val="24"/>
        </w:rPr>
        <w:t xml:space="preserve">In my opinion a constitution of a new jurisdiction was neccessary and inevitable so that the owners and producers would be well protected. Throughout an effective legal regulation not only the economy and agriculture could benefit but it would be a step forward to the whole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15574">
    <w:multiLevelType w:val="hybridMultilevel"/>
    <w:lvl w:ilvl="0" w:tplc="61206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15574">
    <w:abstractNumId w:val="26015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992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