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PATRÍCIA DOMINIKA NIKLAI</w:t>
            </w:r>
          </w:p>
          <w:p w:rsidR="00C275A3" w:rsidRDefault="00A96AEC" w:rsidP="00C275A3">
            <w:pPr>
              <w:pStyle w:val="Hallgatokepzes"/>
            </w:pPr>
            <w:r>
              <w:t>law</w:t>
            </w:r>
            <w:r>
              <w:br/>
            </w:r>
            <w:r w:rsidR="00E77B23">
              <w:t>Unified, 3. semester</w:t>
            </w:r>
          </w:p>
          <w:p w:rsidR="00C265CE" w:rsidRPr="009E5FF1" w:rsidRDefault="00E77B23" w:rsidP="009763E0">
            <w:pPr>
              <w:pStyle w:val="Hallgatointezmeny-kar"/>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Eszter Cs. Herger Dr.</w:t>
            </w:r>
          </w:p>
          <w:p w:rsidR="00DB4822" w:rsidRDefault="00DB4822" w:rsidP="009763E0">
            <w:pPr>
              <w:pStyle w:val="Konzulensektitulus"/>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Freedom of choosing and practising religion in the Empire of Austria (1848-1867)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did not write about an age or state that would first come to your mind when talking about human rights. I compared the partial results of the constitutional process of the revolutionary wave that started in ’48 with the regulation of the neo-absolutist era and with the legislation of the time of political easing in the conservative Empire of Austria, focusing on one of the human rights, which is often apostrophed as a “primary fundamental right” in specialized literature concentrating on the freedom of religion.</w:t>
      </w:r>
    </w:p>
    <w:p>
      <w:pPr>
        <w:widowControl w:val="on"/>
        <w:pBdr/>
        <w:spacing w:before="240" w:after="240" w:line="240" w:lineRule="auto"/>
        <w:ind w:left="0" w:right="0"/>
        <w:jc w:val="left"/>
      </w:pPr>
      <w:r>
        <w:rPr>
          <w:color w:val="000000"/>
          <w:sz w:val="24"/>
          <w:szCs w:val="24"/>
        </w:rPr>
        <w:t xml:space="preserve">During my elaboration of the topic I could not disregard the social and political factors that shaped the intentions of legal policy, so I highlighted the point of view of the most significant personalities of the era. I narrowed down my theme to the regulation relating to the Roman Catholic, Evangelistic and Calvinistic Church.</w:t>
      </w:r>
    </w:p>
    <w:p>
      <w:pPr>
        <w:widowControl w:val="on"/>
        <w:pBdr/>
        <w:spacing w:before="240" w:after="240" w:line="240" w:lineRule="auto"/>
        <w:ind w:left="0" w:right="0"/>
        <w:jc w:val="left"/>
      </w:pPr>
      <w:r>
        <w:rPr>
          <w:color w:val="000000"/>
          <w:sz w:val="24"/>
          <w:szCs w:val="24"/>
        </w:rPr>
        <w:t xml:space="preserve">In the two decades following 1848 there were quick changes in the relation between the Church and State, and in the declaration and guaranteeing of human rights. Compared to the Western model, in the Empire of Austria civil modernization was delayed and it was materialized mostly according to liberal principles and already the results of organic development; at the same time, the State continued to pursue a careful, considerate policy in relation to the Catholic Church.</w:t>
      </w:r>
    </w:p>
    <w:p>
      <w:pPr>
        <w:widowControl w:val="on"/>
        <w:pBdr/>
        <w:spacing w:before="240" w:after="240" w:line="240" w:lineRule="auto"/>
        <w:ind w:left="0" w:right="0"/>
        <w:jc w:val="left"/>
      </w:pPr>
      <w:r>
        <w:rPr>
          <w:color w:val="000000"/>
          <w:sz w:val="24"/>
          <w:szCs w:val="24"/>
        </w:rPr>
        <w:t xml:space="preserve">The novum of my work is that, presenting the elaborated sources of law, I have outlined the process of how the requirements of the civil rule of law first appeared, then got set aside and deformed, and moved towards liberalisation once again in the Empire of Austria. At the end of the observed era, in 1867 the State defined itself as neutral in its relation to the Church, for which it was regarded as a basic precondition to legally implement the equality of denominations, to guarantee individuals the freedom to choose their religion and religious communities to practise their religion – within the lawful limits. Even though the process thus started again and led to many results, it was satisfactorily concluded only at the turn of the 19-20th centuries. In my essay, out of all human rights, I concentrated mainly on the question of freedom of religion, but it may be established that there were periodical changes concerning other classic human rights as well and that the development of these was mainly interlinked and based on the same ideological foundations in the Empire of Austria.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125273">
    <w:multiLevelType w:val="hybridMultilevel"/>
    <w:lvl w:ilvl="0" w:tplc="869078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125273">
    <w:abstractNumId w:val="151252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40725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