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KÖRNYEI MÁTYÁS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 Gergely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kocka el van vetve-Az online szerencsejáték szabályozása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Bizonytalanság uralkodik az online szerencsejátékjogban. Bizonytalanság mely ingoványos tereppé, szürke zónává teszi az online szerencsejátékok piacát. Jelen dolgozat célja, hogy átfogó képet adjon az online szerencsejátékokra vonatkozó magyarországi szabályozásról, valamint a magyar szabályozást is érdemben befolyásoló uniós keretekről, illetve, hogy lehetséges alternatívákat mutasson a szabályozási koncepció fejlesztése, hatékonyabbá tétele érdekében.</w:t>
      </w:r>
      <w:r>
        <w:rPr>
          <w:color w:val="000000"/>
          <w:sz w:val="24"/>
          <w:szCs w:val="24"/>
        </w:rPr>
        <w:br/>
        <w:t xml:space="preserve">A téma az elmúlt évtizedben és napjainkban is világszinten aktuális, hiszen az online szerencsejáték piac a gazdasági válság ellenére is egy gyorsan növekvő piac tudott maradni és a bővülése is megalapozottan előre jelezhető. Hazánkban különleges aktualitással bír a jelen kérdéskör, mivel ezekben az években rajzolja/rajzolta újra a jogalkotó az online szerencsejáték piac külső és belső határait.</w:t>
      </w:r>
      <w:r>
        <w:rPr>
          <w:color w:val="000000"/>
          <w:sz w:val="24"/>
          <w:szCs w:val="24"/>
        </w:rPr>
        <w:br/>
        <w:t xml:space="preserve">A dolgozat elsősorban a magyar szabályozással foglalkozik, ezen felül pedig rövid kitekintést ad az uniós keretekre is. A külföldi jogi szabályozásokkal – a mennyiségi korlátok miatt – csupán történeti és elméleti szempontból, érintőlegesen foglalkozunk. A dolgozat továbbá vizsgálja a szabályozással kapcsolatos legégetőbb kérdéseket, így azt, hogy a dolgozatban kifejtett legfontosabb érdekek (játékos-védelem, jogbiztonság, erős állami felügyelet, költségvetési-adózási érdek, kapcsolódó bűncselekmények elleni küzdelem) érvényesülésére tekintettel, a piac monopolizált vagy liberalizált, esetleg ezek vegyes változatát megvalósító szabályozási koncepciót érdemes-e követni, a jelenlegi szürke zóna felszámolásával és az ahhoz kapcsolódó legfontosabb kérdéseket, valamint a szabályozási koncepció karakterisztikájának kialakításával kapcsolatos kérdéseket.</w:t>
      </w:r>
      <w:r>
        <w:rPr>
          <w:color w:val="000000"/>
          <w:sz w:val="24"/>
          <w:szCs w:val="24"/>
        </w:rPr>
        <w:br/>
        <w:t xml:space="preserve">A kutatás módszere alapvetően a hazai jogszabályok valamint az azok alapján fennálló gyakorlatban realizálódott helyzet, a korábban elvégzett hazai és külföldi (számszerű eredményeket is produkáló) kutatások eredményeinek, a témával kapcsolatos hazai illetve külföldi szakirodalomnak, valamint az uniós kereteknek, joggyakorlatnak illetve kutatásoknak, kitűzött céloknak és az unió által a jog- és piacharmonizáció érdekében végzett cselekvéseinek a vizsgálata volt.</w:t>
      </w:r>
      <w:r>
        <w:rPr>
          <w:color w:val="000000"/>
          <w:sz w:val="24"/>
          <w:szCs w:val="24"/>
        </w:rPr>
        <w:br/>
        <w:t xml:space="preserve">A kutatás végül megállapította a szabályozással kapcsolatos legfontosabb kérdésköröket, az egyes kérdésekre kidolgozott több alternatív javaslatot, számba véve az előnyöket és hátrányokat, valamint az egyes javaslatok összehasonlítását.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70573">
    <w:multiLevelType w:val="hybridMultilevel"/>
    <w:lvl w:ilvl="0" w:tplc="74931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70573">
    <w:abstractNumId w:val="97270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338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