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KÖRNYEI</w:t>
            </w:r>
          </w:p>
          <w:p w:rsidR="00C275A3" w:rsidRDefault="00A96AEC" w:rsidP="00C275A3">
            <w:pPr>
              <w:pStyle w:val="Hallgatokepzes"/>
            </w:pPr>
            <w:r>
              <w:t>Law</w:t>
            </w:r>
            <w:r>
              <w:br/>
            </w:r>
            <w:r w:rsidR="00E77B23">
              <w:t>Unified, 7. semester</w:t>
            </w:r>
          </w:p>
          <w:p w:rsidR="00C265CE" w:rsidRPr="009E5FF1" w:rsidRDefault="00E77B23" w:rsidP="009763E0">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Gergely László Szőke J.D.</w:t>
            </w:r>
          </w:p>
          <w:p w:rsidR="00DB4822" w:rsidRDefault="00DB4822" w:rsidP="009763E0">
            <w:pPr>
              <w:pStyle w:val="Konzulensektitulus"/>
            </w:pPr>
            <w:r w:rsidRPr="00DB4822">
              <w:t>junior research fellow,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die is cast-The online gambling regulation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Uncertainty prevails in the online gambling law. Uncertainty which makes the field of online gambling market to a swampy ground and a grey zone. This dissertation aims to provide a comnprehensive picture about the hungarian laws on online gambling and about the EU frameworks which are influence the hungarian legislation in merits, as well as to propose possible alternatives for the development of regulatory concepts in order to make it more effective</w:t>
      </w:r>
      <w:r>
        <w:rPr>
          <w:color w:val="000000"/>
          <w:sz w:val="24"/>
          <w:szCs w:val="24"/>
        </w:rPr>
        <w:br/>
        <w:t xml:space="preserve">The issue was currently relevant at the last decades, and it is in nowdays in Hungary as well as world wide too, because the online gambling market despite of the global economic crisis was able to remain a rapidly growing market and also the expansion is reasonably foreseeable. In Hungary the issue has a special actuality because in these years the legislative body re-drawed the inner and outer borders of the online gambling market.</w:t>
      </w:r>
      <w:r>
        <w:rPr>
          <w:color w:val="000000"/>
          <w:sz w:val="24"/>
          <w:szCs w:val="24"/>
        </w:rPr>
        <w:br/>
        <w:t xml:space="preserve">This dissertation mainly deals with the Hungarian law, in addition, provides a brief outlook on the EU framework as well. It deals with the foreign legal regulations – due to the quantitative limitations – tangentially and only from the historical and theoretical point of view. The dissertation also examines the most relevant issues related to the regulation. Thus, it examines that, the monopolized or liberalized, perhaps the mixed version of the formers regulatory concept should be followed in order to enforce the main interests expressed in this paper (player protection, legal certainty, strong government supervision, budget and tax interests, fight against related crimes). The dissertation also deals with the most important issues related to the elimination of the gray zone as well as the issues related with the design of the regulatory concept’s characteristics.</w:t>
      </w:r>
      <w:r>
        <w:rPr>
          <w:color w:val="000000"/>
          <w:sz w:val="24"/>
          <w:szCs w:val="24"/>
        </w:rPr>
        <w:br/>
        <w:t xml:space="preserve">Basically, the research method was the examination of the domestic laws and practice, examination of former domestic and foreign research results, examination of the foreign and domestic literature as well as the examination of the EU framework, case law, researches, aims and actions carried out by the Union in order to the market and legal harmonization.</w:t>
      </w:r>
      <w:r>
        <w:rPr>
          <w:color w:val="000000"/>
          <w:sz w:val="24"/>
          <w:szCs w:val="24"/>
        </w:rPr>
        <w:br/>
        <w:t xml:space="preserve">At last, the research found the key issues related to the regulation. It elaborated more alternative proposals for the certain issues by considering the adventages and disadventages as well as the comparison of individual proposals.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36926">
    <w:multiLevelType w:val="hybridMultilevel"/>
    <w:lvl w:ilvl="0" w:tplc="71438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36926">
    <w:abstractNumId w:val="50236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8592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