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ATTILA LÁSZLÓ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Mohay Ágoston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Korrupció- és csalásellenes küzdelem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korrupció és a csalás az Európai Unió pénzügyi érdekeit is sértő legsúlyosabb deliktumok közé tartozik, az általuk okozott kár mértéke euró milliárdokra tehető. Különösen a szupranacionális jogtárgyak védelme érdekében az Unió, nemzetközi és más szervezetekkel karöltve, fokozott figyelmet fordít e bűncselekmények megakadályozására, amit bizonyítanak a különböző speciális jogi aktusok, valamint a létrehozott intézmények, szervezetek és együttműködési fórumok. Kutatásom centrumában a megelőzés és a bűnüldözés lehetséges módjainak, illetve a küzdelem eddigi sikertelensége okainak feltárása áll.</w:t>
      </w:r>
      <w:r>
        <w:rPr>
          <w:color w:val="000000"/>
          <w:sz w:val="24"/>
          <w:szCs w:val="24"/>
        </w:rPr>
        <w:br/>
        <w:t xml:space="preserve">Munkámban mindenekelőtt tisztázom az európai büntetőjog fogalmát, ami nélkül nem érthető meg, milyen jogi keretek között zajlik az említett bűncselekményekkel szembeni harc. Ismertetem a központosított szisztéma megvalósításának indokait, a rendelkezésre álló eszközöket, és a mélyebb integráció elmaradásában rejlő veszélyeket. Ezután rátérek a korrupció definiálási lehetőségeinek, a jogegységesítés magyar Büntető Törvénykönyvben fellelhető jeleinek bemutatására, majd ízelítőt nyújtok a legjelentősebb antikorrupciós egyezményekből és institúciókból. Ezt követően hasonló módszerrel feltárom a csalás megfékezésére hivatott szervezeteket és projekteket, a foganatosított intézkedések jogszabályi és elvi alapjait, valamint a releváns bizottsági stratégiát.</w:t>
      </w:r>
      <w:r>
        <w:rPr>
          <w:color w:val="000000"/>
          <w:sz w:val="24"/>
          <w:szCs w:val="24"/>
        </w:rPr>
        <w:br/>
        <w:t xml:space="preserve">Véleményem, meglátásaim a dolgozatba szőve számos helyen megtalálhatók, legfontosabb észrevételeimet, megoldási javaslataimat azonban az utolsó, De lege ferenda címet viselő rész tartalmazza. Szövegművemet igyekeztem izgalmas adatokkal, ügyekkel, gyakorlati példákkal és ábrákkal is színesíteni.</w:t>
      </w:r>
      <w:r>
        <w:rPr>
          <w:color w:val="000000"/>
          <w:sz w:val="24"/>
          <w:szCs w:val="24"/>
        </w:rPr>
        <w:br/>
        <w:t xml:space="preserve">Írásomból folyamatosan kisejlik mintegy háttérben megbúvó alapdilemmaként, hogy az Európai Unió közös érdeket szolgáló bűnmegelőzési és bűnüldözési mechanizmusainak fundamentumát képező, büntetőjogi normák alkotására vonatkozó jogalap meddig tágítható, illetve a Lisszaboni Szerződés rendelkezései milyen fordulatot hozhatnak az európai büntetőjog fejlődésében.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70760">
    <w:multiLevelType w:val="hybridMultilevel"/>
    <w:lvl w:ilvl="0" w:tplc="95273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70760">
    <w:abstractNumId w:val="858707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572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