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LÁSZLÓ KOVÁCS </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Ágoston Mohay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fight against corruption and fraud in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Corruption and fraud are amongst the greatest crimes affecting the financial interests of the European Union, the damages caused by these phenomena are estimated to be billions of euros. The Union, in cooperation with international and other organizations, pays increased attention to the prevention of these crimes, particularly in order to protect supranational legal interests, which is proven by several special legal actions, and the established institutions, organizations, and cooperative forums.</w:t>
      </w:r>
      <w:r>
        <w:rPr>
          <w:color w:val="000000"/>
          <w:sz w:val="24"/>
          <w:szCs w:val="24"/>
        </w:rPr>
        <w:br/>
        <w:t xml:space="preserve">My study focused on finding the possible ways to prevent and prosecute these crimes, and to find the reasons of the failures to do so until now.</w:t>
      </w:r>
      <w:r>
        <w:rPr>
          <w:color w:val="000000"/>
          <w:sz w:val="24"/>
          <w:szCs w:val="24"/>
        </w:rPr>
        <w:br/>
        <w:t xml:space="preserve">In my thesis I first clarify the concept of the European prosecution law, without which one cannot understand the legal frameworks of the fight against the crimes mentioned above.</w:t>
      </w:r>
      <w:r>
        <w:rPr>
          <w:color w:val="000000"/>
          <w:sz w:val="24"/>
          <w:szCs w:val="24"/>
        </w:rPr>
        <w:br/>
        <w:t xml:space="preserve">I present the reasons of realizing the centralized system, the tools available, and the underlying dangers of the lack of a deeper integration. After these, I describe the possibilities of defining corruption, the signs of legal unification within the Hungarian Criminal Code, and I present some examples of the most important anti-corruption agreements and institutions.</w:t>
      </w:r>
      <w:r>
        <w:rPr>
          <w:color w:val="000000"/>
          <w:sz w:val="24"/>
          <w:szCs w:val="24"/>
        </w:rPr>
        <w:br/>
        <w:t xml:space="preserve">Following these, I reveal the organizations and projects intended to restrain fraud, the legal and conceptual basics of the actions taken, and the relevant Committee strategy.</w:t>
      </w:r>
      <w:r>
        <w:rPr>
          <w:color w:val="000000"/>
          <w:sz w:val="24"/>
          <w:szCs w:val="24"/>
        </w:rPr>
        <w:br/>
        <w:t xml:space="preserve">My opinions and views are expressed in several points in my thesis, however, my most important observations and recommended solutions can be found in the last section, titled “De lege ferenda”. I aimed to make my text more enjoyable with interesting data, cases, practical examples and illustrations.</w:t>
      </w:r>
      <w:r>
        <w:rPr>
          <w:color w:val="000000"/>
          <w:sz w:val="24"/>
          <w:szCs w:val="24"/>
        </w:rPr>
        <w:br/>
        <w:t xml:space="preserve">The question of how far the legal basis of the prosecution standards forming the fundamentals of the criminal prevention and prosecution mechanisms serving the common interests of the European Union, and the effects the Treaty of Lisbon would bring to the evolution of the European criminal law, is the continuously appearing basic dilemma of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11720">
    <w:multiLevelType w:val="hybridMultilevel"/>
    <w:lvl w:ilvl="0" w:tplc="61894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11720">
    <w:abstractNumId w:val="87111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716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