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KOVÁCS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Kőhalmi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sexual victimization of law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dissertation we examine the sexual victimization of young law student women, in order to get data about their victimization, to find out if our results can reflect the tendencies of sexual victimization, and despite of the small amount of the sample we research if we can find other tendencies.</w:t>
      </w:r>
      <w:r>
        <w:rPr>
          <w:color w:val="000000"/>
          <w:sz w:val="24"/>
          <w:szCs w:val="24"/>
        </w:rPr>
        <w:br/>
        <w:t xml:space="preserve">The dissertation commences with the introduction of the sexual victimization's general situation. The next topic gives a brief overview about how the regulation of sexual violence changed through history. We report about problems why it is difficult to recognize sexual offenses, about the sources of latent crime and about the method to recognize it. After that we present the study of László Korinek, whose study gave the basis for our examination, and with what we can correlate our research, as well.</w:t>
      </w:r>
      <w:r>
        <w:rPr>
          <w:color w:val="000000"/>
          <w:sz w:val="24"/>
          <w:szCs w:val="24"/>
        </w:rPr>
        <w:br/>
        <w:t xml:space="preserve">Our survey was made by an empirical research, including a victim - survey which asked law and paralegal students, albeit it is important to highlight that regarding to the small amount of the sample our research does not have a representative nature. Our statement is that our examination's results meet most of the main points of László Korinek's contentions. But yet we found variant trends, what we did not examine deeply, but tangentially. Cyber bullying and telephone harassment are getting more and more frequent acts. The second most frequent act was a violent one (attempt of sexual violence meanwhile the victim was under the infulence of alcohol or drugs), which is a pretty conspicuous data, even the amount of the sample is small. Regarding to the serious victims we can state that the perpetrator was belong to the "boyfriend/ex-boyfriend/husband/ex-husband" category, not to the "stranger".</w:t>
      </w:r>
      <w:r>
        <w:rPr>
          <w:color w:val="000000"/>
          <w:sz w:val="24"/>
          <w:szCs w:val="24"/>
        </w:rPr>
        <w:br/>
        <w:t xml:space="preserve">In the dissertation we do not talk about the possibilities of prevention, but in another research we propose to examine more detailed why victims do not press charges against their aggressor.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61553">
    <w:multiLevelType w:val="hybridMultilevel"/>
    <w:lvl w:ilvl="0" w:tplc="26079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61553">
    <w:abstractNumId w:val="26861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171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