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ANTAL KRISZTINA</w:t>
            </w:r>
          </w:p>
          <w:p w:rsidR="00C275A3" w:rsidRDefault="00A96AEC" w:rsidP="00C275A3">
            <w:pPr>
              <w:pStyle w:val="Hallgatokepzes"/>
            </w:pPr>
            <w:r>
              <w:t>Jogász</w:t>
            </w:r>
            <w:r>
              <w:br/>
            </w:r>
            <w:r w:rsidR="00E77B23">
              <w:t>Osztatlan, 7. félév</w:t>
            </w:r>
          </w:p>
          <w:p w:rsidR="00C265CE" w:rsidRPr="009E5FF1" w:rsidRDefault="00E77B23" w:rsidP="009763E0">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Pánovics Attila</w:t>
            </w:r>
          </w:p>
          <w:p w:rsidR="00DB4822" w:rsidRDefault="00DB4822" w:rsidP="009763E0">
            <w:pPr>
              <w:pStyle w:val="Konzulensektitulus"/>
            </w:pPr>
            <w:r w:rsidRPr="00DB4822">
              <w:t>egyetemi 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visszalépés tilalma a természetvédelmi szabályozásban – uniós kitekintéssel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célja magyar és uniós természetvédelmi szabályozás összehasonlítása a védett területek korlátozásának feloldásának lehetőségével összefüggésben. Az Alaptörvény környezetvédelmi rendelkezéseinek, valamint az Alkotmánybíróság gyakorlatában kialakított „visszalépés tilalmának” a bemutatását követően elemzi az EU Élőhelyvédelmi Irányelvében foglalt feltételrendszert és annak gyakorlati érvényesülését az Európai Bizottság és az EU Bírósága gyakorlatában. Végül javaslatot fogalmaz meg azzal kapcsolatban, hogy miként lehetne összhangba hozni a két jogrendszer szabályait a természet védelme hatékonyabban megvalósulása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66881">
    <w:multiLevelType w:val="hybridMultilevel"/>
    <w:lvl w:ilvl="0" w:tplc="88909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66881">
    <w:abstractNumId w:val="662668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812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