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ANTAL</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Pánovics Dr.</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principle of non-derogation in nature conservation with implications for Union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the paper is to compare the legal regulation of nature conservation areas in Hungary and in the EU in relation to the possible dissolution of their limitations.</w:t>
      </w:r>
      <w:r>
        <w:rPr>
          <w:color w:val="000000"/>
          <w:sz w:val="24"/>
          <w:szCs w:val="24"/>
        </w:rPr>
        <w:br/>
        <w:t xml:space="preserve">It presents the environmental provisions of the Fundamental Law and the practice of the Constitutional Court, that led the adoption of the ’non derogation principle’, and after then it analyses the requirements of the Habitats Directive of the EU, and the practice of the European Commision and the Court of Justice of the EU.</w:t>
      </w:r>
      <w:r>
        <w:rPr>
          <w:color w:val="000000"/>
          <w:sz w:val="24"/>
          <w:szCs w:val="24"/>
        </w:rPr>
        <w:br/>
        <w:t xml:space="preserve">Finally, it makes suggestions on how to reconcile the rules of these two legal systems in order to improve the realization of nature conservation.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950166">
    <w:multiLevelType w:val="hybridMultilevel"/>
    <w:lvl w:ilvl="0" w:tplc="794071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950166">
    <w:abstractNumId w:val="999501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22493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