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 HERCZEG</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Pánovics Dr.</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regulations stepchild: soil protection in the European Union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Soil is essentially a non-renewable resource and a very dynamic system which performs many functions and delivers services vital to human activities and ecosystems survival. Information available suggests that, over recent decades, there has been a significant increase of soil degradation processes, and there is evidence that they will further increase if no action is taken.</w:t>
      </w:r>
      <w:r>
        <w:rPr>
          <w:color w:val="000000"/>
          <w:sz w:val="24"/>
          <w:szCs w:val="24"/>
        </w:rPr>
        <w:br/>
        <w:t xml:space="preserve">Though soil protection provisions exist in the Community acquis, there is no specific Community legislation on soil protection. The European Commission aims at filling this gap and has the objective of establishing a common strategy for the protection and sustainable use of soil based on the principles of integration of soil concerns into other policies, preservation of soil functions within the context of sustainable use, prevention of threats to soil and mitigation of their effects, as well as restoration of degraded soils to a level of functionality consistent at least with the current and approved future use.</w:t>
      </w:r>
      <w:r>
        <w:rPr>
          <w:color w:val="000000"/>
          <w:sz w:val="24"/>
          <w:szCs w:val="24"/>
        </w:rPr>
        <w:br/>
        <w:t xml:space="preserve">Based on a need to tackle soil productivity, risks to human health and the environment, and to provide opportunities for climate mitigation and adaptation as well as stimulating business opportunities for soil remediation, the Commission proposed a Soil Framework Directive in 2006, which also addresses the transboundary nature of soil degradation. The European Parliament adopted its first reading on the proposal in November 2007. At the March 2010 Environment Council, a minority of Member States blocked further progress on grounds of subsidiarity, excessive cost and administrative burden. No further progress has since been made by the Council. The proposal remains on the Council's table. Soil degradation continues…</w:t>
      </w:r>
      <w:r>
        <w:rPr>
          <w:color w:val="000000"/>
          <w:sz w:val="24"/>
          <w:szCs w:val="24"/>
        </w:rPr>
        <w:br/>
        <w:t xml:space="preserve">After two years of intensive work, 2015 has been declared the International Year of Soils by the 68th UN General Assembly. The IYS aims to be a platform for raising awareness of the importance of soils for food security and essential eco-system functions. We hope this program will be beneficial to promote regulation of soil protection in the European Union.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23126">
    <w:multiLevelType w:val="hybridMultilevel"/>
    <w:lvl w:ilvl="0" w:tplc="35337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23126">
    <w:abstractNumId w:val="941231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7342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