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Pókecz Kovács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kamatmaximum kijátszására szolgáló ügyletek az ókori Rómában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értekezés olyan témakört jelöl meg vizsgálódása tárgyaként, mely már az ókori Rómában is jogi szabályozást követelt meg. A pénz megjelenésével egyidejűleg terjedt el az egyik legfontosabb kereskedelmi ügylet, a kölcsön (mutuum), melyet általában magánszemélyek igényeltek a kor üzletembereitől. Az ókori Rómában nem léteztek még ugyan a mai értelemben vett bankok és bankárok, de előfutáraik már fellelhetőek a történelem e korai szakaszában is. Az ilyen gazdasági tevékenységet folytatók a pénzkereskedelemből igyekeztek hasznot húzni, ezért elkezdtek tőkehasználati díjat, kamatot (usura) szedni, ez biztosított lehetőséget az uzsorás ügyletek térnyerésének.</w:t>
      </w:r>
      <w:r>
        <w:rPr>
          <w:color w:val="000000"/>
          <w:sz w:val="24"/>
          <w:szCs w:val="24"/>
        </w:rPr>
        <w:br/>
        <w:t xml:space="preserve">A dolgozatban az általános mértéket meghaladó ügyleti kamatokat legális és illegális típusokba sorolva tárgyalom. Legálisnak számított a tengeri kölcsön (foenus nauticum) és a sportolóknak nyújtott kölcsön esete, melyeknél az általános kamatmaximum túllépésének lehetőségét az ügyletekben rejlő magas fokú kockázat indokolta.</w:t>
      </w:r>
      <w:r>
        <w:rPr>
          <w:color w:val="000000"/>
          <w:sz w:val="24"/>
          <w:szCs w:val="24"/>
        </w:rPr>
        <w:br/>
        <w:t xml:space="preserve">A két legismertebb illegális uzsorás ügylet a contractus trinus és a contractus mohatrae voltak. Az előbbi egy lecsupaszított társasági szerződésnek minősül, ahol az egyik társ, az adós minden kockázatot magára vállal, s a másik felet, a hitelezőt így anyagi hasznokhoz juttatja elsősorban azáltal, hogy a tőkét jövedelmezően fekteti be. Az utóbbi ügylet pedig tulajdonképpen két adásvétellel leplezett kölcsönt jelent, melynél a vételárak közötti különbözet rejti az uzsorakamatot. A dolgozat részletesen tárgyalja az intézmény peresíthetőségét és a veszélyviseléssel kapcsolatban felmerült kérdéseket is.</w:t>
      </w:r>
      <w:r>
        <w:rPr>
          <w:color w:val="000000"/>
          <w:sz w:val="24"/>
          <w:szCs w:val="24"/>
        </w:rPr>
        <w:br/>
        <w:t xml:space="preserve">A vizsgálat végül az uzsorások tevékenységének visszaszorítására tett kísérletek ismertetésével zárul, melynek fókuszában a senatusconsultum Macedonianum keletkezési körülményeinek és célzott joghatásának elemzése áll.</w:t>
      </w:r>
      <w:r>
        <w:rPr>
          <w:color w:val="000000"/>
          <w:sz w:val="24"/>
          <w:szCs w:val="24"/>
        </w:rPr>
        <w:br/>
        <w:t xml:space="preserve">A kutatás a primer források segítségével és a szekunder irodalomban fellelhető álláspontok ütköztetésével igyekszik teljes körűen feltárni az általános mértéket meghaladó ügyleti kamat kikötésének lehetőségeit az ókori Rómában.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42981">
    <w:multiLevelType w:val="hybridMultilevel"/>
    <w:lvl w:ilvl="0" w:tplc="79593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42981">
    <w:abstractNumId w:val="51942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246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